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val="0"/>
        <w:spacing w:line="600" w:lineRule="exact"/>
        <w:jc w:val="center"/>
        <w:textAlignment w:val="auto"/>
        <w:rPr>
          <w:rFonts w:hint="eastAsia" w:ascii="Times New Roman" w:hAnsi="Times New Roman" w:eastAsia="方正小标宋_GBK"/>
          <w:b/>
          <w:color w:val="000000"/>
          <w:sz w:val="48"/>
          <w:szCs w:val="52"/>
        </w:rPr>
      </w:pPr>
    </w:p>
    <w:p>
      <w:pPr>
        <w:keepNext w:val="0"/>
        <w:keepLines w:val="0"/>
        <w:pageBreakBefore w:val="0"/>
        <w:widowControl w:val="0"/>
        <w:kinsoku/>
        <w:wordWrap/>
        <w:overflowPunct/>
        <w:topLinePunct w:val="0"/>
        <w:bidi w:val="0"/>
        <w:snapToGrid w:val="0"/>
        <w:spacing w:line="600" w:lineRule="exact"/>
        <w:jc w:val="center"/>
        <w:textAlignment w:val="auto"/>
        <w:rPr>
          <w:rFonts w:ascii="Times New Roman" w:hAnsi="Times New Roman" w:eastAsia="方正小标宋_GBK"/>
          <w:b/>
          <w:color w:val="000000"/>
          <w:sz w:val="48"/>
          <w:szCs w:val="52"/>
        </w:rPr>
      </w:pPr>
      <w:r>
        <w:rPr>
          <w:rFonts w:hint="eastAsia" w:ascii="Times New Roman" w:hAnsi="Times New Roman" w:eastAsia="方正小标宋_GBK"/>
          <w:b/>
          <w:color w:val="000000"/>
          <w:sz w:val="48"/>
          <w:szCs w:val="52"/>
        </w:rPr>
        <w:t>关于加快推进算力应用和产业发展</w:t>
      </w:r>
      <w:r>
        <w:rPr>
          <w:rFonts w:ascii="Times New Roman" w:hAnsi="Times New Roman" w:eastAsia="方正小标宋_GBK"/>
          <w:b/>
          <w:color w:val="000000"/>
          <w:sz w:val="48"/>
          <w:szCs w:val="52"/>
        </w:rPr>
        <w:t>的</w:t>
      </w:r>
    </w:p>
    <w:p>
      <w:pPr>
        <w:keepNext w:val="0"/>
        <w:keepLines w:val="0"/>
        <w:pageBreakBefore w:val="0"/>
        <w:widowControl w:val="0"/>
        <w:kinsoku/>
        <w:wordWrap/>
        <w:overflowPunct/>
        <w:topLinePunct w:val="0"/>
        <w:bidi w:val="0"/>
        <w:snapToGrid w:val="0"/>
        <w:spacing w:line="600" w:lineRule="exact"/>
        <w:jc w:val="center"/>
        <w:textAlignment w:val="auto"/>
        <w:rPr>
          <w:rFonts w:ascii="Times New Roman" w:hAnsi="Times New Roman" w:eastAsia="方正小标宋_GBK"/>
          <w:b/>
          <w:color w:val="000000"/>
          <w:sz w:val="48"/>
          <w:szCs w:val="52"/>
        </w:rPr>
      </w:pPr>
      <w:r>
        <w:rPr>
          <w:rFonts w:ascii="Times New Roman" w:hAnsi="Times New Roman" w:eastAsia="方正小标宋_GBK"/>
          <w:b/>
          <w:color w:val="000000"/>
          <w:sz w:val="48"/>
          <w:szCs w:val="52"/>
        </w:rPr>
        <w:t>若干政策</w:t>
      </w:r>
    </w:p>
    <w:p>
      <w:pPr>
        <w:keepNext w:val="0"/>
        <w:keepLines w:val="0"/>
        <w:pageBreakBefore w:val="0"/>
        <w:widowControl w:val="0"/>
        <w:kinsoku/>
        <w:wordWrap/>
        <w:overflowPunct/>
        <w:topLinePunct w:val="0"/>
        <w:bidi w:val="0"/>
        <w:spacing w:line="600" w:lineRule="exact"/>
        <w:jc w:val="center"/>
        <w:textAlignment w:val="auto"/>
        <w:rPr>
          <w:rFonts w:ascii="方正楷体_GBK" w:eastAsia="方正楷体_GBK"/>
          <w:b/>
          <w:color w:val="000000"/>
          <w:sz w:val="36"/>
          <w:szCs w:val="32"/>
        </w:rPr>
      </w:pPr>
      <w:r>
        <w:rPr>
          <w:rFonts w:hint="eastAsia" w:ascii="方正楷体_GBK" w:eastAsia="方正楷体_GBK"/>
          <w:b/>
          <w:color w:val="000000"/>
          <w:sz w:val="36"/>
        </w:rPr>
        <w:t>（</w:t>
      </w:r>
      <w:r>
        <w:rPr>
          <w:rFonts w:hint="eastAsia" w:ascii="方正楷体_GBK" w:eastAsia="方正楷体_GBK"/>
          <w:b/>
          <w:color w:val="000000"/>
          <w:sz w:val="36"/>
          <w:lang w:val="en-US" w:eastAsia="zh-CN"/>
        </w:rPr>
        <w:t>征求意见</w:t>
      </w:r>
      <w:r>
        <w:rPr>
          <w:rFonts w:hint="eastAsia" w:ascii="方正楷体_GBK" w:eastAsia="方正楷体_GBK"/>
          <w:b/>
          <w:color w:val="000000"/>
          <w:sz w:val="36"/>
        </w:rPr>
        <w:t>稿）</w:t>
      </w:r>
    </w:p>
    <w:p>
      <w:pPr>
        <w:keepNext w:val="0"/>
        <w:keepLines w:val="0"/>
        <w:pageBreakBefore w:val="0"/>
        <w:widowControl w:val="0"/>
        <w:kinsoku/>
        <w:wordWrap/>
        <w:overflowPunct/>
        <w:topLinePunct w:val="0"/>
        <w:bidi w:val="0"/>
        <w:spacing w:line="600" w:lineRule="exact"/>
        <w:ind w:firstLine="643" w:firstLineChars="200"/>
        <w:textAlignment w:val="auto"/>
        <w:rPr>
          <w:rFonts w:ascii="Times New Roman" w:hAnsi="Times New Roman" w:eastAsia="方正仿宋_GBK"/>
          <w:b/>
          <w:color w:val="000000"/>
          <w:sz w:val="32"/>
          <w:szCs w:val="28"/>
        </w:rPr>
      </w:pPr>
    </w:p>
    <w:p>
      <w:pPr>
        <w:keepNext w:val="0"/>
        <w:keepLines w:val="0"/>
        <w:pageBreakBefore w:val="0"/>
        <w:widowControl w:val="0"/>
        <w:kinsoku/>
        <w:wordWrap/>
        <w:overflowPunct/>
        <w:topLinePunct w:val="0"/>
        <w:bidi w:val="0"/>
        <w:snapToGrid w:val="0"/>
        <w:spacing w:line="600" w:lineRule="exact"/>
        <w:ind w:firstLine="723" w:firstLineChars="200"/>
        <w:textAlignment w:val="auto"/>
        <w:rPr>
          <w:rFonts w:hint="default" w:ascii="Times New Roman" w:hAnsi="Times New Roman" w:eastAsia="方正仿宋_GBK" w:cs="Times New Roman"/>
          <w:b/>
          <w:color w:val="000000"/>
          <w:sz w:val="36"/>
          <w:szCs w:val="36"/>
        </w:rPr>
      </w:pPr>
      <w:r>
        <w:rPr>
          <w:rFonts w:hint="default" w:ascii="Times New Roman" w:hAnsi="Times New Roman" w:eastAsia="方正仿宋_GBK" w:cs="Times New Roman"/>
          <w:b/>
          <w:color w:val="000000"/>
          <w:sz w:val="36"/>
          <w:szCs w:val="36"/>
        </w:rPr>
        <w:t>为积极抢抓国家“东数西算”工程战略机遇，助力天府数据中心集群建设，四川天府新区积极发挥以国家超算成都中心等为代表的算力基础设施的重要作用，提高算力服务水平，推进算力赋能应用，加快发展算力产业，结合四川天府新区实际，特制定本政策。</w:t>
      </w:r>
    </w:p>
    <w:p>
      <w:pPr>
        <w:keepNext w:val="0"/>
        <w:keepLines w:val="0"/>
        <w:pageBreakBefore w:val="0"/>
        <w:widowControl w:val="0"/>
        <w:kinsoku/>
        <w:wordWrap/>
        <w:overflowPunct/>
        <w:topLinePunct w:val="0"/>
        <w:bidi w:val="0"/>
        <w:spacing w:line="600" w:lineRule="exact"/>
        <w:ind w:firstLine="723" w:firstLineChars="200"/>
        <w:textAlignment w:val="auto"/>
        <w:rPr>
          <w:rFonts w:hint="default" w:ascii="Times New Roman" w:hAnsi="Times New Roman" w:eastAsia="方正黑体_GBK" w:cs="Times New Roman"/>
          <w:b/>
          <w:color w:val="000000"/>
          <w:sz w:val="36"/>
          <w:szCs w:val="36"/>
        </w:rPr>
      </w:pPr>
      <w:r>
        <w:rPr>
          <w:rFonts w:hint="default" w:ascii="Times New Roman" w:hAnsi="Times New Roman" w:eastAsia="方正黑体_GBK" w:cs="Times New Roman"/>
          <w:b/>
          <w:color w:val="000000"/>
          <w:sz w:val="36"/>
          <w:szCs w:val="36"/>
        </w:rPr>
        <w:t>一、适用范围</w:t>
      </w:r>
    </w:p>
    <w:p>
      <w:pPr>
        <w:keepNext w:val="0"/>
        <w:keepLines w:val="0"/>
        <w:pageBreakBefore w:val="0"/>
        <w:widowControl w:val="0"/>
        <w:kinsoku/>
        <w:wordWrap/>
        <w:overflowPunct/>
        <w:topLinePunct w:val="0"/>
        <w:bidi w:val="0"/>
        <w:snapToGrid w:val="0"/>
        <w:spacing w:line="600" w:lineRule="exact"/>
        <w:ind w:firstLine="723" w:firstLineChars="200"/>
        <w:textAlignment w:val="auto"/>
        <w:rPr>
          <w:rFonts w:hint="default" w:ascii="Times New Roman" w:hAnsi="Times New Roman" w:eastAsia="方正仿宋_GBK" w:cs="Times New Roman"/>
          <w:b/>
          <w:color w:val="000000"/>
          <w:sz w:val="36"/>
          <w:szCs w:val="36"/>
        </w:rPr>
      </w:pPr>
      <w:r>
        <w:rPr>
          <w:rFonts w:hint="default" w:ascii="Times New Roman" w:hAnsi="Times New Roman" w:eastAsia="方正仿宋_GBK" w:cs="Times New Roman"/>
          <w:b/>
          <w:color w:val="000000"/>
          <w:sz w:val="36"/>
          <w:szCs w:val="36"/>
        </w:rPr>
        <w:t>本政策适用于注册地、税收解缴关系及统计关系在四川天府新区直管区（以下简称：直管区），具有独立法人资格的企事业单位（以下简称：企事业单位）。</w:t>
      </w:r>
    </w:p>
    <w:p>
      <w:pPr>
        <w:keepNext w:val="0"/>
        <w:keepLines w:val="0"/>
        <w:pageBreakBefore w:val="0"/>
        <w:widowControl w:val="0"/>
        <w:kinsoku/>
        <w:wordWrap/>
        <w:overflowPunct/>
        <w:topLinePunct w:val="0"/>
        <w:bidi w:val="0"/>
        <w:snapToGrid w:val="0"/>
        <w:spacing w:line="600" w:lineRule="exact"/>
        <w:ind w:firstLine="723" w:firstLineChars="200"/>
        <w:textAlignment w:val="auto"/>
        <w:rPr>
          <w:rFonts w:hint="default" w:ascii="Times New Roman" w:hAnsi="Times New Roman" w:eastAsia="方正仿宋_GBK" w:cs="Times New Roman"/>
          <w:b/>
          <w:color w:val="000000"/>
          <w:sz w:val="36"/>
          <w:szCs w:val="36"/>
        </w:rPr>
      </w:pPr>
      <w:r>
        <w:rPr>
          <w:rFonts w:hint="default" w:ascii="Times New Roman" w:hAnsi="Times New Roman" w:eastAsia="方正仿宋_GBK" w:cs="Times New Roman"/>
          <w:b/>
          <w:color w:val="000000"/>
          <w:sz w:val="36"/>
          <w:szCs w:val="36"/>
        </w:rPr>
        <w:t>本政策所指高端算力供给平台为在国家超算成都中心园区落地建设的，由直管区独立法人机构管理运营的超级计算中心或智能计算中心。</w:t>
      </w:r>
    </w:p>
    <w:p>
      <w:pPr>
        <w:keepNext w:val="0"/>
        <w:keepLines w:val="0"/>
        <w:pageBreakBefore w:val="0"/>
        <w:widowControl w:val="0"/>
        <w:kinsoku/>
        <w:wordWrap/>
        <w:overflowPunct/>
        <w:topLinePunct w:val="0"/>
        <w:bidi w:val="0"/>
        <w:spacing w:line="600" w:lineRule="exact"/>
        <w:ind w:firstLine="723" w:firstLineChars="200"/>
        <w:textAlignment w:val="auto"/>
        <w:rPr>
          <w:rFonts w:hint="default" w:ascii="Times New Roman" w:hAnsi="Times New Roman" w:eastAsia="方正黑体_GBK" w:cs="Times New Roman"/>
          <w:b/>
          <w:color w:val="000000"/>
          <w:sz w:val="36"/>
          <w:szCs w:val="36"/>
        </w:rPr>
      </w:pPr>
      <w:r>
        <w:rPr>
          <w:rFonts w:hint="default" w:ascii="Times New Roman" w:hAnsi="Times New Roman" w:eastAsia="方正黑体_GBK" w:cs="Times New Roman"/>
          <w:b/>
          <w:color w:val="000000"/>
          <w:sz w:val="36"/>
          <w:szCs w:val="36"/>
        </w:rPr>
        <w:t>二、政策支持</w:t>
      </w:r>
    </w:p>
    <w:p>
      <w:pPr>
        <w:keepNext w:val="0"/>
        <w:keepLines w:val="0"/>
        <w:pageBreakBefore w:val="0"/>
        <w:widowControl w:val="0"/>
        <w:kinsoku/>
        <w:wordWrap/>
        <w:overflowPunct/>
        <w:topLinePunct w:val="0"/>
        <w:bidi w:val="0"/>
        <w:spacing w:line="600" w:lineRule="exact"/>
        <w:ind w:firstLine="723" w:firstLineChars="200"/>
        <w:textAlignment w:val="auto"/>
        <w:rPr>
          <w:rFonts w:hint="default" w:ascii="Times New Roman" w:hAnsi="Times New Roman" w:eastAsia="方正仿宋_GBK" w:cs="Times New Roman"/>
          <w:b/>
          <w:color w:val="000000"/>
          <w:sz w:val="36"/>
          <w:szCs w:val="36"/>
        </w:rPr>
      </w:pPr>
      <w:r>
        <w:rPr>
          <w:rFonts w:hint="default" w:ascii="Times New Roman" w:hAnsi="Times New Roman" w:eastAsia="方正楷体_GBK" w:cs="Times New Roman"/>
          <w:b/>
          <w:color w:val="000000"/>
          <w:sz w:val="36"/>
          <w:szCs w:val="36"/>
        </w:rPr>
        <w:t>第一条 支持联合申报重大项目。</w:t>
      </w:r>
      <w:r>
        <w:rPr>
          <w:rFonts w:hint="default" w:ascii="Times New Roman" w:hAnsi="Times New Roman" w:eastAsia="方正仿宋_GBK" w:cs="Times New Roman"/>
          <w:b/>
          <w:color w:val="000000"/>
          <w:sz w:val="36"/>
          <w:szCs w:val="36"/>
        </w:rPr>
        <w:t>支持企事业单位联合高端算力供给平台承接国家、省、市级</w:t>
      </w:r>
      <w:r>
        <w:rPr>
          <w:rFonts w:hint="default" w:ascii="Times New Roman" w:hAnsi="Times New Roman" w:eastAsia="方正仿宋_GBK" w:cs="Times New Roman"/>
          <w:b/>
          <w:color w:val="000000"/>
          <w:sz w:val="36"/>
          <w:szCs w:val="36"/>
          <w:lang w:val="en-US"/>
        </w:rPr>
        <w:t>重点研发计划</w:t>
      </w:r>
      <w:r>
        <w:rPr>
          <w:rFonts w:hint="default" w:ascii="Times New Roman" w:hAnsi="Times New Roman" w:eastAsia="方正仿宋_GBK" w:cs="Times New Roman"/>
          <w:b/>
          <w:color w:val="000000"/>
          <w:sz w:val="36"/>
          <w:szCs w:val="36"/>
        </w:rPr>
        <w:t>、重大产业化项目、“揭榜挂帅”项目、“卡脖子”技术攻关项目，对获得国家、省、市立项的，按照年度高端算力供给平台实际获得课题经费的50%，给予企事业单位单个国家级、省级、市级项目年度</w:t>
      </w:r>
      <w:r>
        <w:rPr>
          <w:rFonts w:hint="eastAsia" w:ascii="Times New Roman" w:hAnsi="Times New Roman" w:eastAsia="方正仿宋_GBK" w:cs="Times New Roman"/>
          <w:b/>
          <w:color w:val="000000"/>
          <w:sz w:val="36"/>
          <w:szCs w:val="36"/>
          <w:lang w:val="en-US" w:eastAsia="zh-CN"/>
        </w:rPr>
        <w:t>分别</w:t>
      </w:r>
      <w:r>
        <w:rPr>
          <w:rFonts w:hint="default" w:ascii="Times New Roman" w:hAnsi="Times New Roman" w:eastAsia="方正仿宋_GBK" w:cs="Times New Roman"/>
          <w:b/>
          <w:color w:val="000000"/>
          <w:sz w:val="36"/>
          <w:szCs w:val="36"/>
        </w:rPr>
        <w:t>最高不超过500万元、100万元、50万元的配套补贴，同一主体年度累计最高不超过1000万元。</w:t>
      </w:r>
    </w:p>
    <w:p>
      <w:pPr>
        <w:keepNext w:val="0"/>
        <w:keepLines w:val="0"/>
        <w:pageBreakBefore w:val="0"/>
        <w:widowControl w:val="0"/>
        <w:kinsoku/>
        <w:wordWrap/>
        <w:overflowPunct/>
        <w:topLinePunct w:val="0"/>
        <w:bidi w:val="0"/>
        <w:spacing w:line="600" w:lineRule="exact"/>
        <w:ind w:firstLine="723" w:firstLineChars="200"/>
        <w:textAlignment w:val="auto"/>
        <w:rPr>
          <w:rFonts w:hint="default" w:ascii="Times New Roman" w:hAnsi="Times New Roman" w:eastAsia="方正仿宋_GBK" w:cs="Times New Roman"/>
          <w:b/>
          <w:color w:val="000000"/>
          <w:sz w:val="36"/>
          <w:szCs w:val="36"/>
        </w:rPr>
      </w:pPr>
      <w:r>
        <w:rPr>
          <w:rFonts w:hint="default" w:ascii="Times New Roman" w:hAnsi="Times New Roman" w:eastAsia="方正楷体_GBK" w:cs="Times New Roman"/>
          <w:b/>
          <w:color w:val="000000"/>
          <w:sz w:val="36"/>
          <w:szCs w:val="36"/>
        </w:rPr>
        <w:t>第二条 支持关键技术联合攻关。</w:t>
      </w:r>
      <w:r>
        <w:rPr>
          <w:rFonts w:hint="default" w:ascii="Times New Roman" w:hAnsi="Times New Roman" w:eastAsia="方正仿宋_GBK" w:cs="Times New Roman"/>
          <w:b/>
          <w:color w:val="000000"/>
          <w:sz w:val="36"/>
          <w:szCs w:val="36"/>
        </w:rPr>
        <w:t>支持企事业单位联合高端算力供给平台开展先进计算领域重大关键技术联合攻关，按照企事业单位向高端算力供给平台实际支付的年度技术服务费用的50%，给予企事业单位单个项目最高不超过200万元的奖励，同一主体年度累计最高不超过500万元。</w:t>
      </w:r>
    </w:p>
    <w:p>
      <w:pPr>
        <w:keepNext w:val="0"/>
        <w:keepLines w:val="0"/>
        <w:pageBreakBefore w:val="0"/>
        <w:widowControl w:val="0"/>
        <w:kinsoku/>
        <w:wordWrap/>
        <w:overflowPunct/>
        <w:topLinePunct w:val="0"/>
        <w:bidi w:val="0"/>
        <w:spacing w:line="600" w:lineRule="exact"/>
        <w:ind w:firstLine="723" w:firstLineChars="200"/>
        <w:textAlignment w:val="auto"/>
        <w:rPr>
          <w:rFonts w:hint="default" w:ascii="Times New Roman" w:hAnsi="Times New Roman" w:eastAsia="方正仿宋_GBK" w:cs="Times New Roman"/>
          <w:b/>
          <w:color w:val="000000"/>
          <w:sz w:val="36"/>
          <w:szCs w:val="36"/>
        </w:rPr>
      </w:pPr>
      <w:bookmarkStart w:id="0" w:name="_Hlk146625077"/>
      <w:r>
        <w:rPr>
          <w:rFonts w:hint="default" w:ascii="Times New Roman" w:hAnsi="Times New Roman" w:eastAsia="方正楷体_GBK" w:cs="Times New Roman"/>
          <w:b/>
          <w:color w:val="000000"/>
          <w:sz w:val="36"/>
          <w:szCs w:val="36"/>
        </w:rPr>
        <w:t>第三条 支持软硬件适配平台建设。</w:t>
      </w:r>
      <w:r>
        <w:rPr>
          <w:rFonts w:hint="default" w:ascii="Times New Roman" w:hAnsi="Times New Roman" w:eastAsia="方正仿宋_GBK" w:cs="Times New Roman"/>
          <w:b/>
          <w:color w:val="000000"/>
          <w:sz w:val="36"/>
          <w:szCs w:val="36"/>
        </w:rPr>
        <w:t>支持高端算力供给平台</w:t>
      </w:r>
      <w:r>
        <w:rPr>
          <w:rFonts w:hint="eastAsia" w:ascii="Times New Roman" w:hAnsi="Times New Roman" w:eastAsia="方正仿宋_GBK" w:cs="Times New Roman"/>
          <w:b/>
          <w:color w:val="000000"/>
          <w:sz w:val="36"/>
          <w:szCs w:val="36"/>
          <w:lang w:val="en-US" w:eastAsia="zh-CN"/>
        </w:rPr>
        <w:t>单独或联合企事业单位建设</w:t>
      </w:r>
      <w:r>
        <w:rPr>
          <w:rFonts w:hint="default" w:ascii="Times New Roman" w:hAnsi="Times New Roman" w:eastAsia="方正仿宋_GBK" w:cs="Times New Roman"/>
          <w:b/>
          <w:color w:val="000000"/>
          <w:sz w:val="36"/>
          <w:szCs w:val="36"/>
        </w:rPr>
        <w:t>先进计算产业软硬件适配测试平台，按照平台实际建设费用的30%，给予</w:t>
      </w:r>
      <w:r>
        <w:rPr>
          <w:rFonts w:hint="eastAsia" w:ascii="Times New Roman" w:hAnsi="Times New Roman" w:eastAsia="方正仿宋_GBK" w:cs="Times New Roman"/>
          <w:b/>
          <w:color w:val="000000"/>
          <w:sz w:val="36"/>
          <w:szCs w:val="36"/>
          <w:lang w:val="en-US" w:eastAsia="zh-CN"/>
        </w:rPr>
        <w:t>建设</w:t>
      </w:r>
      <w:r>
        <w:rPr>
          <w:rFonts w:hint="default" w:ascii="Times New Roman" w:hAnsi="Times New Roman" w:eastAsia="方正仿宋_GBK" w:cs="Times New Roman"/>
          <w:b/>
          <w:color w:val="000000"/>
          <w:sz w:val="36"/>
          <w:szCs w:val="36"/>
        </w:rPr>
        <w:t>单位单个平台最高不超过300万元一次性补贴，同一主体年度累计最高不超过500万元。</w:t>
      </w:r>
    </w:p>
    <w:bookmarkEnd w:id="0"/>
    <w:p>
      <w:pPr>
        <w:keepNext w:val="0"/>
        <w:keepLines w:val="0"/>
        <w:pageBreakBefore w:val="0"/>
        <w:widowControl w:val="0"/>
        <w:kinsoku/>
        <w:wordWrap/>
        <w:overflowPunct/>
        <w:topLinePunct w:val="0"/>
        <w:bidi w:val="0"/>
        <w:spacing w:line="600" w:lineRule="exact"/>
        <w:ind w:firstLine="723" w:firstLineChars="200"/>
        <w:textAlignment w:val="auto"/>
        <w:rPr>
          <w:rFonts w:hint="default" w:ascii="Times New Roman" w:hAnsi="Times New Roman" w:eastAsia="方正仿宋_GBK" w:cs="Times New Roman"/>
          <w:b/>
          <w:color w:val="000000"/>
          <w:sz w:val="36"/>
          <w:szCs w:val="36"/>
        </w:rPr>
      </w:pPr>
      <w:r>
        <w:rPr>
          <w:rFonts w:hint="default" w:ascii="Times New Roman" w:hAnsi="Times New Roman" w:eastAsia="方正楷体_GBK" w:cs="Times New Roman"/>
          <w:b/>
          <w:color w:val="000000"/>
          <w:sz w:val="36"/>
          <w:szCs w:val="36"/>
        </w:rPr>
        <w:t>第四条 支持孵化原创大模型。</w:t>
      </w:r>
      <w:r>
        <w:rPr>
          <w:rFonts w:hint="default" w:ascii="Times New Roman" w:hAnsi="Times New Roman" w:eastAsia="方正仿宋_GBK" w:cs="Times New Roman"/>
          <w:b/>
          <w:color w:val="000000"/>
          <w:sz w:val="36"/>
          <w:szCs w:val="36"/>
        </w:rPr>
        <w:t>支持企事业单位联合高端算力供给平台孵化原创大模型，对于参数量不低于百亿、典型应用场景不少于3个的大模型，按照实际支付的年度算力服务费用的50%，给予单个企事业单位年度最高不超过300万元的补贴。</w:t>
      </w:r>
    </w:p>
    <w:p>
      <w:pPr>
        <w:keepNext w:val="0"/>
        <w:keepLines w:val="0"/>
        <w:pageBreakBefore w:val="0"/>
        <w:widowControl w:val="0"/>
        <w:kinsoku/>
        <w:wordWrap/>
        <w:overflowPunct/>
        <w:topLinePunct w:val="0"/>
        <w:bidi w:val="0"/>
        <w:spacing w:line="600" w:lineRule="exact"/>
        <w:ind w:firstLine="723" w:firstLineChars="200"/>
        <w:textAlignment w:val="auto"/>
        <w:rPr>
          <w:rFonts w:hint="default" w:ascii="Times New Roman" w:hAnsi="Times New Roman" w:eastAsia="方正仿宋_GBK" w:cs="Times New Roman"/>
          <w:b/>
          <w:color w:val="000000"/>
          <w:sz w:val="36"/>
          <w:szCs w:val="36"/>
        </w:rPr>
      </w:pPr>
      <w:r>
        <w:rPr>
          <w:rFonts w:hint="default" w:ascii="Times New Roman" w:hAnsi="Times New Roman" w:eastAsia="方正楷体_GBK" w:cs="Times New Roman"/>
          <w:b/>
          <w:color w:val="000000"/>
          <w:sz w:val="36"/>
          <w:szCs w:val="36"/>
        </w:rPr>
        <w:t>第五条 支持使用购买算力服务。</w:t>
      </w:r>
      <w:r>
        <w:rPr>
          <w:rFonts w:hint="default" w:ascii="Times New Roman" w:hAnsi="Times New Roman" w:eastAsia="方正仿宋_GBK" w:cs="Times New Roman"/>
          <w:b/>
          <w:color w:val="000000"/>
          <w:sz w:val="36"/>
          <w:szCs w:val="36"/>
        </w:rPr>
        <w:t>鼓励企事业单位使用高端算力供给平台算力服务，对购买国</w:t>
      </w:r>
      <w:bookmarkStart w:id="1" w:name="_GoBack"/>
      <w:bookmarkEnd w:id="1"/>
      <w:r>
        <w:rPr>
          <w:rFonts w:hint="default" w:ascii="Times New Roman" w:hAnsi="Times New Roman" w:eastAsia="方正仿宋_GBK" w:cs="Times New Roman"/>
          <w:b/>
          <w:color w:val="000000"/>
          <w:sz w:val="36"/>
          <w:szCs w:val="36"/>
        </w:rPr>
        <w:t>家超算成都中心算力服务的，年度实际支付算力服务费用低于100万元（含）部分按照40%比例年度最高给予不超过30万元补贴，100万元—200万元（含）部分按照30%比例年度最高给予不超过30万元补贴，超过200万元部分按照25%比例年度最高给予不超过40万元补贴；对购买智算中心服务的，年度实际支付算力服务费用低于100万元（含）部分按照40%比例年度最高给予不超过20万元补贴，100万元—200万元部分（含）按照30%比例年度最高给予不超过20万元补贴，超过200万元部分按照25%比例年度最高给予不超过40万元补贴。</w:t>
      </w:r>
    </w:p>
    <w:p>
      <w:pPr>
        <w:keepNext w:val="0"/>
        <w:keepLines w:val="0"/>
        <w:pageBreakBefore w:val="0"/>
        <w:widowControl w:val="0"/>
        <w:kinsoku/>
        <w:wordWrap/>
        <w:overflowPunct/>
        <w:topLinePunct w:val="0"/>
        <w:autoSpaceDE w:val="0"/>
        <w:autoSpaceDN w:val="0"/>
        <w:bidi w:val="0"/>
        <w:adjustRightInd w:val="0"/>
        <w:spacing w:line="600" w:lineRule="exact"/>
        <w:ind w:firstLine="723" w:firstLineChars="200"/>
        <w:jc w:val="left"/>
        <w:textAlignment w:val="auto"/>
        <w:rPr>
          <w:rFonts w:hint="default" w:ascii="Times New Roman" w:hAnsi="Times New Roman" w:eastAsia="方正黑体_GBK" w:cs="Times New Roman"/>
          <w:b/>
          <w:color w:val="000000"/>
          <w:sz w:val="36"/>
          <w:szCs w:val="36"/>
        </w:rPr>
      </w:pPr>
      <w:r>
        <w:rPr>
          <w:rFonts w:hint="default" w:ascii="Times New Roman" w:hAnsi="Times New Roman" w:eastAsia="方正黑体_GBK" w:cs="Times New Roman"/>
          <w:b/>
          <w:color w:val="000000"/>
          <w:sz w:val="36"/>
          <w:szCs w:val="36"/>
        </w:rPr>
        <w:t>三、附则</w:t>
      </w:r>
    </w:p>
    <w:p>
      <w:pPr>
        <w:spacing w:line="600" w:lineRule="exact"/>
        <w:ind w:firstLine="723" w:firstLineChars="200"/>
      </w:pPr>
      <w:r>
        <w:rPr>
          <w:rFonts w:hint="default" w:ascii="Times New Roman" w:hAnsi="Times New Roman" w:eastAsia="方正仿宋_GBK" w:cs="Times New Roman"/>
          <w:b/>
          <w:color w:val="000000"/>
          <w:sz w:val="36"/>
          <w:szCs w:val="36"/>
        </w:rPr>
        <w:t>本政策自发布之日起30日后实施，有效期3年。</w:t>
      </w:r>
      <w:r>
        <w:rPr>
          <w:rFonts w:hint="default" w:ascii="Times New Roman" w:hAnsi="Times New Roman" w:eastAsia="方正仿宋_GBK" w:cs="Times New Roman"/>
          <w:b/>
          <w:color w:val="000000"/>
          <w:sz w:val="36"/>
          <w:szCs w:val="32"/>
        </w:rPr>
        <w:t>本政策同一项目、同一主体，以及</w:t>
      </w:r>
      <w:r>
        <w:rPr>
          <w:rFonts w:hint="default" w:ascii="Times New Roman" w:hAnsi="Times New Roman" w:eastAsia="方正仿宋_GBK" w:cs="Times New Roman"/>
          <w:b/>
          <w:color w:val="000000"/>
          <w:sz w:val="36"/>
          <w:szCs w:val="36"/>
        </w:rPr>
        <w:t>与直管区其他同类型政策按照就高不重复的原则执行，对符合直管区产业发展定位的特别重大项目，按“一事一议”的原则执行。本政策资金纳入产业发展资金统筹安排</w:t>
      </w:r>
      <w:r>
        <w:rPr>
          <w:rFonts w:hint="eastAsia" w:ascii="Times New Roman" w:hAnsi="Times New Roman" w:eastAsia="方正仿宋_GBK" w:cs="Times New Roman"/>
          <w:b/>
          <w:color w:val="000000"/>
          <w:sz w:val="36"/>
          <w:szCs w:val="36"/>
          <w:lang w:eastAsia="zh-CN"/>
        </w:rPr>
        <w:t>，</w:t>
      </w:r>
      <w:r>
        <w:rPr>
          <w:rFonts w:hint="eastAsia" w:ascii="Times New Roman" w:hAnsi="Times New Roman" w:eastAsia="方正仿宋_GBK" w:cs="Times New Roman"/>
          <w:b/>
          <w:color w:val="000000"/>
          <w:sz w:val="36"/>
          <w:szCs w:val="36"/>
          <w:lang w:val="en-US" w:eastAsia="zh-CN"/>
        </w:rPr>
        <w:t>实行预算管理和总量控制</w:t>
      </w:r>
      <w:r>
        <w:rPr>
          <w:rFonts w:hint="default" w:ascii="Times New Roman" w:hAnsi="Times New Roman" w:eastAsia="方正仿宋_GBK" w:cs="Times New Roman"/>
          <w:b/>
          <w:color w:val="000000"/>
          <w:sz w:val="36"/>
          <w:szCs w:val="36"/>
        </w:rPr>
        <w:t>。政策在实施过程中，因国家、省、市、直管区相关政策调整而产生冲突的，以调整后的规定为准</w:t>
      </w:r>
      <w:r>
        <w:rPr>
          <w:rFonts w:hint="default" w:ascii="Times New Roman" w:hAnsi="Times New Roman" w:eastAsia="方正仿宋_GBK" w:cs="Times New Roman"/>
          <w:b/>
          <w:color w:val="000000"/>
          <w:sz w:val="36"/>
          <w:szCs w:val="32"/>
        </w:rPr>
        <w:t>。</w:t>
      </w:r>
      <w:r>
        <w:rPr>
          <w:rFonts w:hint="default" w:ascii="Times New Roman" w:hAnsi="Times New Roman" w:eastAsia="方正仿宋_GBK" w:cs="Times New Roman"/>
          <w:b/>
          <w:color w:val="000000"/>
          <w:sz w:val="36"/>
          <w:szCs w:val="36"/>
        </w:rPr>
        <w:t>相关实施细则由四川天府新区新经济局制定并负责解释。</w:t>
      </w:r>
    </w:p>
    <w:sectPr>
      <w:headerReference r:id="rId3" w:type="default"/>
      <w:footerReference r:id="rId4" w:type="default"/>
      <w:pgSz w:w="11900" w:h="16840"/>
      <w:pgMar w:top="2098" w:right="1474" w:bottom="1984" w:left="1587" w:header="0" w:footer="141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NotTrackMoves/>
  <w:trackRevisions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yNTJhYmQ5MWU3Y2U1OTMxZmNhMzY4ODgxYjJhOTUifQ=="/>
  </w:docVars>
  <w:rsids>
    <w:rsidRoot w:val="006220BD"/>
    <w:rsid w:val="000566FE"/>
    <w:rsid w:val="00067493"/>
    <w:rsid w:val="00072257"/>
    <w:rsid w:val="00112A71"/>
    <w:rsid w:val="00246A97"/>
    <w:rsid w:val="002B0E97"/>
    <w:rsid w:val="002C6ECC"/>
    <w:rsid w:val="00326454"/>
    <w:rsid w:val="003E01B7"/>
    <w:rsid w:val="00421D0A"/>
    <w:rsid w:val="00422D15"/>
    <w:rsid w:val="00425095"/>
    <w:rsid w:val="00433BBF"/>
    <w:rsid w:val="0046572D"/>
    <w:rsid w:val="00472194"/>
    <w:rsid w:val="00594F99"/>
    <w:rsid w:val="0059549B"/>
    <w:rsid w:val="005A0C08"/>
    <w:rsid w:val="005A34AE"/>
    <w:rsid w:val="005B410C"/>
    <w:rsid w:val="006220BD"/>
    <w:rsid w:val="006606E5"/>
    <w:rsid w:val="00800001"/>
    <w:rsid w:val="00800D12"/>
    <w:rsid w:val="00837DB5"/>
    <w:rsid w:val="00861645"/>
    <w:rsid w:val="008841DB"/>
    <w:rsid w:val="008D6D3B"/>
    <w:rsid w:val="008F4553"/>
    <w:rsid w:val="009007BC"/>
    <w:rsid w:val="009D4ADF"/>
    <w:rsid w:val="009E2457"/>
    <w:rsid w:val="009E5F8E"/>
    <w:rsid w:val="00A42ECC"/>
    <w:rsid w:val="00A57F59"/>
    <w:rsid w:val="00A72563"/>
    <w:rsid w:val="00AA3AA0"/>
    <w:rsid w:val="00B419F9"/>
    <w:rsid w:val="00BA7DEC"/>
    <w:rsid w:val="00BB2402"/>
    <w:rsid w:val="00C1749D"/>
    <w:rsid w:val="00C24383"/>
    <w:rsid w:val="00C70656"/>
    <w:rsid w:val="00CA2BA8"/>
    <w:rsid w:val="00CF4362"/>
    <w:rsid w:val="00D04232"/>
    <w:rsid w:val="00D568C6"/>
    <w:rsid w:val="00D911F1"/>
    <w:rsid w:val="00DF28E9"/>
    <w:rsid w:val="00E11956"/>
    <w:rsid w:val="00E5261F"/>
    <w:rsid w:val="00E64919"/>
    <w:rsid w:val="00E83C5A"/>
    <w:rsid w:val="00EE412C"/>
    <w:rsid w:val="00F0725F"/>
    <w:rsid w:val="00F22DF5"/>
    <w:rsid w:val="00F239B6"/>
    <w:rsid w:val="00FA3862"/>
    <w:rsid w:val="00FD087D"/>
    <w:rsid w:val="01D58AB2"/>
    <w:rsid w:val="025B4399"/>
    <w:rsid w:val="027677F8"/>
    <w:rsid w:val="02D768EE"/>
    <w:rsid w:val="03061EBD"/>
    <w:rsid w:val="03425772"/>
    <w:rsid w:val="03470D37"/>
    <w:rsid w:val="0365764E"/>
    <w:rsid w:val="03A0C260"/>
    <w:rsid w:val="04657F2A"/>
    <w:rsid w:val="04AD3DAA"/>
    <w:rsid w:val="04E137C6"/>
    <w:rsid w:val="052027CE"/>
    <w:rsid w:val="05AF2055"/>
    <w:rsid w:val="05CA098C"/>
    <w:rsid w:val="06052E26"/>
    <w:rsid w:val="0698902C"/>
    <w:rsid w:val="06BA1548"/>
    <w:rsid w:val="07075667"/>
    <w:rsid w:val="090B620C"/>
    <w:rsid w:val="096D740D"/>
    <w:rsid w:val="0A381A3F"/>
    <w:rsid w:val="0B0E131B"/>
    <w:rsid w:val="0B370164"/>
    <w:rsid w:val="0B8C6F00"/>
    <w:rsid w:val="0C085D6A"/>
    <w:rsid w:val="0C4E06D0"/>
    <w:rsid w:val="0CCF21C0"/>
    <w:rsid w:val="0D2E7A52"/>
    <w:rsid w:val="0D643474"/>
    <w:rsid w:val="0DEB14A0"/>
    <w:rsid w:val="0E807E3A"/>
    <w:rsid w:val="0E8576EA"/>
    <w:rsid w:val="0F0A004B"/>
    <w:rsid w:val="0F21EEEB"/>
    <w:rsid w:val="0F5B2655"/>
    <w:rsid w:val="0FDCCD43"/>
    <w:rsid w:val="0FED5320"/>
    <w:rsid w:val="104E5D16"/>
    <w:rsid w:val="1069026B"/>
    <w:rsid w:val="11343848"/>
    <w:rsid w:val="115623F7"/>
    <w:rsid w:val="11B4C349"/>
    <w:rsid w:val="11F95A41"/>
    <w:rsid w:val="13E77DD6"/>
    <w:rsid w:val="1401C485"/>
    <w:rsid w:val="14BE790E"/>
    <w:rsid w:val="14E2C443"/>
    <w:rsid w:val="158521DA"/>
    <w:rsid w:val="15BA15EF"/>
    <w:rsid w:val="16E55626"/>
    <w:rsid w:val="17006E4C"/>
    <w:rsid w:val="1763654B"/>
    <w:rsid w:val="18245CDA"/>
    <w:rsid w:val="18D4A6D4"/>
    <w:rsid w:val="18E41BE0"/>
    <w:rsid w:val="19565811"/>
    <w:rsid w:val="19752B2F"/>
    <w:rsid w:val="19DA5E7D"/>
    <w:rsid w:val="1B3B17AF"/>
    <w:rsid w:val="1B522B5E"/>
    <w:rsid w:val="1B78E4CB"/>
    <w:rsid w:val="1B7A3E63"/>
    <w:rsid w:val="1C52F401"/>
    <w:rsid w:val="1CB843C9"/>
    <w:rsid w:val="1CBC087B"/>
    <w:rsid w:val="1CD53A47"/>
    <w:rsid w:val="1E5BDEF8"/>
    <w:rsid w:val="1E747D3D"/>
    <w:rsid w:val="1F256320"/>
    <w:rsid w:val="1F5E1581"/>
    <w:rsid w:val="20E57FD0"/>
    <w:rsid w:val="21D73DBD"/>
    <w:rsid w:val="21F8C345"/>
    <w:rsid w:val="22CA81EE"/>
    <w:rsid w:val="230706D2"/>
    <w:rsid w:val="2329689A"/>
    <w:rsid w:val="23A3664D"/>
    <w:rsid w:val="242369DC"/>
    <w:rsid w:val="2423AADC"/>
    <w:rsid w:val="251EECE7"/>
    <w:rsid w:val="264A1001"/>
    <w:rsid w:val="26F5715F"/>
    <w:rsid w:val="277D7C78"/>
    <w:rsid w:val="2827B866"/>
    <w:rsid w:val="28665E9B"/>
    <w:rsid w:val="28683951"/>
    <w:rsid w:val="2895052E"/>
    <w:rsid w:val="2935D80D"/>
    <w:rsid w:val="29C506B1"/>
    <w:rsid w:val="2AAA4765"/>
    <w:rsid w:val="2B106E4C"/>
    <w:rsid w:val="2B45623B"/>
    <w:rsid w:val="2B7A9DC0"/>
    <w:rsid w:val="2B9854FF"/>
    <w:rsid w:val="2BB0F0E3"/>
    <w:rsid w:val="2C7C5C8D"/>
    <w:rsid w:val="2CE05106"/>
    <w:rsid w:val="2D0317F4"/>
    <w:rsid w:val="2D0E3F84"/>
    <w:rsid w:val="2D517119"/>
    <w:rsid w:val="2DEF06E0"/>
    <w:rsid w:val="2E12CEFE"/>
    <w:rsid w:val="2E4C78E1"/>
    <w:rsid w:val="2E5D389C"/>
    <w:rsid w:val="2EBE114D"/>
    <w:rsid w:val="2EBF6305"/>
    <w:rsid w:val="2F77098D"/>
    <w:rsid w:val="30AC4667"/>
    <w:rsid w:val="31198AB8"/>
    <w:rsid w:val="311A10CC"/>
    <w:rsid w:val="315818D6"/>
    <w:rsid w:val="31C1FF6A"/>
    <w:rsid w:val="31D948CD"/>
    <w:rsid w:val="32AC66E8"/>
    <w:rsid w:val="32B45DAE"/>
    <w:rsid w:val="32DFA8AE"/>
    <w:rsid w:val="354C71A3"/>
    <w:rsid w:val="356E45E1"/>
    <w:rsid w:val="358160C2"/>
    <w:rsid w:val="368816D2"/>
    <w:rsid w:val="36A209E6"/>
    <w:rsid w:val="37820C08"/>
    <w:rsid w:val="37B8E2CD"/>
    <w:rsid w:val="39133B7C"/>
    <w:rsid w:val="399A1E48"/>
    <w:rsid w:val="3A6626F8"/>
    <w:rsid w:val="3B3B2DB7"/>
    <w:rsid w:val="3C20A83B"/>
    <w:rsid w:val="3C4936B2"/>
    <w:rsid w:val="3DB50054"/>
    <w:rsid w:val="3DDB658B"/>
    <w:rsid w:val="3DE418E4"/>
    <w:rsid w:val="3E8A34E2"/>
    <w:rsid w:val="3E9926CE"/>
    <w:rsid w:val="3EBDF96F"/>
    <w:rsid w:val="3EE54E1A"/>
    <w:rsid w:val="3EFF6A92"/>
    <w:rsid w:val="40420B44"/>
    <w:rsid w:val="404D1978"/>
    <w:rsid w:val="40619F3C"/>
    <w:rsid w:val="40744A04"/>
    <w:rsid w:val="40CD71DB"/>
    <w:rsid w:val="41285F8B"/>
    <w:rsid w:val="41344930"/>
    <w:rsid w:val="41D13F2D"/>
    <w:rsid w:val="4205379C"/>
    <w:rsid w:val="42922FFB"/>
    <w:rsid w:val="42A7B43C"/>
    <w:rsid w:val="42D75573"/>
    <w:rsid w:val="43A55671"/>
    <w:rsid w:val="44AD4AAE"/>
    <w:rsid w:val="44B22189"/>
    <w:rsid w:val="45684BA8"/>
    <w:rsid w:val="479F0324"/>
    <w:rsid w:val="4A3E30E5"/>
    <w:rsid w:val="4AE7F23A"/>
    <w:rsid w:val="4B1F3F5B"/>
    <w:rsid w:val="4B63341F"/>
    <w:rsid w:val="4C1BC6D3"/>
    <w:rsid w:val="4C4839FA"/>
    <w:rsid w:val="4C5F6EC7"/>
    <w:rsid w:val="4C946803"/>
    <w:rsid w:val="4D2C9542"/>
    <w:rsid w:val="4FB4FC22"/>
    <w:rsid w:val="4FCAA934"/>
    <w:rsid w:val="505516FF"/>
    <w:rsid w:val="518EF21E"/>
    <w:rsid w:val="51FD2B1C"/>
    <w:rsid w:val="526606C2"/>
    <w:rsid w:val="530EBBC5"/>
    <w:rsid w:val="53462743"/>
    <w:rsid w:val="53A18D06"/>
    <w:rsid w:val="53DE7872"/>
    <w:rsid w:val="544A5050"/>
    <w:rsid w:val="54F41901"/>
    <w:rsid w:val="57087F99"/>
    <w:rsid w:val="574A6804"/>
    <w:rsid w:val="57D7DA8A"/>
    <w:rsid w:val="58F9E537"/>
    <w:rsid w:val="5A3035D2"/>
    <w:rsid w:val="5AFD9666"/>
    <w:rsid w:val="5C2238AB"/>
    <w:rsid w:val="5C562311"/>
    <w:rsid w:val="5D315971"/>
    <w:rsid w:val="5D7E2D63"/>
    <w:rsid w:val="5D964551"/>
    <w:rsid w:val="5F0E78B0"/>
    <w:rsid w:val="5F746177"/>
    <w:rsid w:val="5FB94527"/>
    <w:rsid w:val="60D94755"/>
    <w:rsid w:val="613BD6F8"/>
    <w:rsid w:val="622814F0"/>
    <w:rsid w:val="64FD3107"/>
    <w:rsid w:val="65049F7A"/>
    <w:rsid w:val="653DD9E1"/>
    <w:rsid w:val="655B1BDC"/>
    <w:rsid w:val="66D734E4"/>
    <w:rsid w:val="66F4447D"/>
    <w:rsid w:val="670F7122"/>
    <w:rsid w:val="6721F9B3"/>
    <w:rsid w:val="6765DFDF"/>
    <w:rsid w:val="67917EEF"/>
    <w:rsid w:val="67DA328C"/>
    <w:rsid w:val="68BA31A9"/>
    <w:rsid w:val="6A1D267D"/>
    <w:rsid w:val="6A8C4332"/>
    <w:rsid w:val="6B596457"/>
    <w:rsid w:val="6B88D8F0"/>
    <w:rsid w:val="6C006C9B"/>
    <w:rsid w:val="6CC796EF"/>
    <w:rsid w:val="6D0FEA7F"/>
    <w:rsid w:val="6E1B45FE"/>
    <w:rsid w:val="6E596E21"/>
    <w:rsid w:val="6E6B7334"/>
    <w:rsid w:val="6EC922AC"/>
    <w:rsid w:val="6F64F816"/>
    <w:rsid w:val="7004359C"/>
    <w:rsid w:val="700912E7"/>
    <w:rsid w:val="703B626F"/>
    <w:rsid w:val="70D438F6"/>
    <w:rsid w:val="70E60EF4"/>
    <w:rsid w:val="716123F6"/>
    <w:rsid w:val="7209CA0A"/>
    <w:rsid w:val="72CC0EDB"/>
    <w:rsid w:val="72E74AAF"/>
    <w:rsid w:val="731A1328"/>
    <w:rsid w:val="733028FA"/>
    <w:rsid w:val="733731F2"/>
    <w:rsid w:val="7359BE89"/>
    <w:rsid w:val="7383F673"/>
    <w:rsid w:val="7399224D"/>
    <w:rsid w:val="740A3D03"/>
    <w:rsid w:val="74544D88"/>
    <w:rsid w:val="74BB4445"/>
    <w:rsid w:val="75A82C1C"/>
    <w:rsid w:val="76115319"/>
    <w:rsid w:val="764D3D5B"/>
    <w:rsid w:val="774C75D7"/>
    <w:rsid w:val="77672662"/>
    <w:rsid w:val="777234E1"/>
    <w:rsid w:val="77754D7F"/>
    <w:rsid w:val="77AB07A1"/>
    <w:rsid w:val="77B2DEA8"/>
    <w:rsid w:val="77C27899"/>
    <w:rsid w:val="78571C40"/>
    <w:rsid w:val="78B10039"/>
    <w:rsid w:val="79DF763F"/>
    <w:rsid w:val="7A820227"/>
    <w:rsid w:val="7BB709F9"/>
    <w:rsid w:val="7BFD5827"/>
    <w:rsid w:val="7C7A49FB"/>
    <w:rsid w:val="7CE81B2F"/>
    <w:rsid w:val="7DDD2F3F"/>
    <w:rsid w:val="7F5B52CC"/>
    <w:rsid w:val="7F9589FA"/>
    <w:rsid w:val="7FD9B7BB"/>
    <w:rsid w:val="7FF18DC3"/>
    <w:rsid w:val="7FFE2DCC"/>
    <w:rsid w:val="80FA5CED"/>
    <w:rsid w:val="817756E0"/>
    <w:rsid w:val="82B8F4C4"/>
    <w:rsid w:val="82D79B79"/>
    <w:rsid w:val="83EA5E6A"/>
    <w:rsid w:val="85C9FE24"/>
    <w:rsid w:val="8731806C"/>
    <w:rsid w:val="8E37A0C5"/>
    <w:rsid w:val="8EFCFDCA"/>
    <w:rsid w:val="8F0EE51D"/>
    <w:rsid w:val="8F87E5CC"/>
    <w:rsid w:val="8FF40AE9"/>
    <w:rsid w:val="90A52E22"/>
    <w:rsid w:val="914BA56A"/>
    <w:rsid w:val="91DF3F73"/>
    <w:rsid w:val="92634BED"/>
    <w:rsid w:val="9426D31B"/>
    <w:rsid w:val="9448751A"/>
    <w:rsid w:val="95787C4F"/>
    <w:rsid w:val="96EEDA59"/>
    <w:rsid w:val="9BE7D78F"/>
    <w:rsid w:val="9C0D9D8F"/>
    <w:rsid w:val="9C7CFBED"/>
    <w:rsid w:val="A003558C"/>
    <w:rsid w:val="A1782AC1"/>
    <w:rsid w:val="A225B7D0"/>
    <w:rsid w:val="A26F242E"/>
    <w:rsid w:val="A2D9C6C2"/>
    <w:rsid w:val="A376CF31"/>
    <w:rsid w:val="A3EDD317"/>
    <w:rsid w:val="A4841AB7"/>
    <w:rsid w:val="A5247CDF"/>
    <w:rsid w:val="A562B00E"/>
    <w:rsid w:val="A673449A"/>
    <w:rsid w:val="A6E0177E"/>
    <w:rsid w:val="A73F1E18"/>
    <w:rsid w:val="A76F27DC"/>
    <w:rsid w:val="A87D6F96"/>
    <w:rsid w:val="ACC012BC"/>
    <w:rsid w:val="AD3FE119"/>
    <w:rsid w:val="AE0F2825"/>
    <w:rsid w:val="B284BC5F"/>
    <w:rsid w:val="B73CCBBF"/>
    <w:rsid w:val="BA4B4F91"/>
    <w:rsid w:val="BBDECE10"/>
    <w:rsid w:val="BC40BCE1"/>
    <w:rsid w:val="BF25392E"/>
    <w:rsid w:val="BFCB4142"/>
    <w:rsid w:val="C16FCA2C"/>
    <w:rsid w:val="C4581EBB"/>
    <w:rsid w:val="C4A3DA38"/>
    <w:rsid w:val="C623D6CA"/>
    <w:rsid w:val="C717CC61"/>
    <w:rsid w:val="C7B10802"/>
    <w:rsid w:val="CB33FA4C"/>
    <w:rsid w:val="CF59BA6C"/>
    <w:rsid w:val="D0641311"/>
    <w:rsid w:val="D1B1EB48"/>
    <w:rsid w:val="D6C5A650"/>
    <w:rsid w:val="DA79D85D"/>
    <w:rsid w:val="DE7AED4F"/>
    <w:rsid w:val="DF5CE926"/>
    <w:rsid w:val="E239F1DC"/>
    <w:rsid w:val="E2D83FDA"/>
    <w:rsid w:val="E3078D92"/>
    <w:rsid w:val="E31565A0"/>
    <w:rsid w:val="E4D07332"/>
    <w:rsid w:val="E5179B29"/>
    <w:rsid w:val="E67AD2BE"/>
    <w:rsid w:val="E7771300"/>
    <w:rsid w:val="E943F48D"/>
    <w:rsid w:val="EA62DF0F"/>
    <w:rsid w:val="EAF96ADC"/>
    <w:rsid w:val="EC5C691E"/>
    <w:rsid w:val="ED268837"/>
    <w:rsid w:val="F3A88551"/>
    <w:rsid w:val="F53E20C6"/>
    <w:rsid w:val="F6F30EA7"/>
    <w:rsid w:val="F81793DC"/>
    <w:rsid w:val="FA8B01E7"/>
    <w:rsid w:val="FACCC7B0"/>
    <w:rsid w:val="FB7A2ECA"/>
    <w:rsid w:val="FD2C3AAA"/>
    <w:rsid w:val="FEE65B18"/>
    <w:rsid w:val="FF1479D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link w:val="17"/>
    <w:qFormat/>
    <w:uiPriority w:val="99"/>
    <w:pPr>
      <w:keepNext/>
      <w:keepLines/>
      <w:spacing w:line="408" w:lineRule="auto"/>
      <w:outlineLvl w:val="0"/>
    </w:pPr>
    <w:rPr>
      <w:b/>
      <w:bCs/>
      <w:color w:val="1A1A1A"/>
      <w:sz w:val="36"/>
      <w:szCs w:val="36"/>
    </w:rPr>
  </w:style>
  <w:style w:type="paragraph" w:styleId="4">
    <w:name w:val="heading 2"/>
    <w:basedOn w:val="1"/>
    <w:next w:val="1"/>
    <w:link w:val="18"/>
    <w:qFormat/>
    <w:uiPriority w:val="99"/>
    <w:pPr>
      <w:keepNext/>
      <w:keepLines/>
      <w:spacing w:line="408" w:lineRule="auto"/>
      <w:outlineLvl w:val="1"/>
    </w:pPr>
    <w:rPr>
      <w:b/>
      <w:bCs/>
      <w:color w:val="1A1A1A"/>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9"/>
    <w:qFormat/>
    <w:uiPriority w:val="99"/>
  </w:style>
  <w:style w:type="paragraph" w:styleId="5">
    <w:name w:val="Body Text"/>
    <w:basedOn w:val="1"/>
    <w:next w:val="1"/>
    <w:link w:val="20"/>
    <w:qFormat/>
    <w:uiPriority w:val="99"/>
    <w:rPr>
      <w:sz w:val="28"/>
      <w:szCs w:val="21"/>
    </w:rPr>
  </w:style>
  <w:style w:type="paragraph" w:styleId="6">
    <w:name w:val="Balloon Text"/>
    <w:basedOn w:val="1"/>
    <w:link w:val="28"/>
    <w:semiHidden/>
    <w:qFormat/>
    <w:uiPriority w:val="99"/>
    <w:rPr>
      <w:sz w:val="18"/>
      <w:szCs w:val="18"/>
    </w:rPr>
  </w:style>
  <w:style w:type="paragraph" w:styleId="7">
    <w:name w:val="footer"/>
    <w:basedOn w:val="1"/>
    <w:link w:val="21"/>
    <w:qFormat/>
    <w:uiPriority w:val="99"/>
    <w:pPr>
      <w:tabs>
        <w:tab w:val="center" w:pos="4153"/>
        <w:tab w:val="right" w:pos="8306"/>
      </w:tabs>
      <w:snapToGrid w:val="0"/>
      <w:jc w:val="left"/>
    </w:pPr>
    <w:rPr>
      <w:sz w:val="18"/>
    </w:rPr>
  </w:style>
  <w:style w:type="paragraph" w:styleId="8">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link w:val="23"/>
    <w:qFormat/>
    <w:uiPriority w:val="99"/>
    <w:pPr>
      <w:widowControl/>
      <w:spacing w:line="330" w:lineRule="atLeast"/>
      <w:jc w:val="left"/>
    </w:pPr>
    <w:rPr>
      <w:rFonts w:ascii="Arial" w:hAnsi="Arial"/>
      <w:szCs w:val="21"/>
    </w:rPr>
  </w:style>
  <w:style w:type="paragraph" w:styleId="10">
    <w:name w:val="Normal (Web)"/>
    <w:basedOn w:val="1"/>
    <w:qFormat/>
    <w:uiPriority w:val="0"/>
    <w:pPr>
      <w:spacing w:before="100" w:beforeAutospacing="1" w:after="100" w:afterAutospacing="1"/>
      <w:jc w:val="left"/>
    </w:pPr>
    <w:rPr>
      <w:rFonts w:cs="Times New Roman"/>
      <w:kern w:val="0"/>
      <w:sz w:val="24"/>
    </w:rPr>
  </w:style>
  <w:style w:type="table" w:styleId="12">
    <w:name w:val="Table Grid"/>
    <w:basedOn w:val="11"/>
    <w:qFormat/>
    <w:uiPriority w:val="99"/>
    <w:rPr>
      <w:rFonts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99"/>
    <w:rPr>
      <w:rFonts w:cs="Times New Roman"/>
    </w:rPr>
  </w:style>
  <w:style w:type="character" w:styleId="15">
    <w:name w:val="Emphasis"/>
    <w:qFormat/>
    <w:uiPriority w:val="99"/>
    <w:rPr>
      <w:rFonts w:cs="Times New Roman"/>
      <w:i/>
    </w:rPr>
  </w:style>
  <w:style w:type="paragraph" w:customStyle="1" w:styleId="16">
    <w:name w:val="Default"/>
    <w:qFormat/>
    <w:uiPriority w:val="99"/>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17">
    <w:name w:val="标题 1 字符"/>
    <w:link w:val="3"/>
    <w:qFormat/>
    <w:locked/>
    <w:uiPriority w:val="99"/>
    <w:rPr>
      <w:rFonts w:ascii="Calibri" w:hAnsi="Calibri"/>
      <w:b/>
      <w:kern w:val="44"/>
      <w:sz w:val="44"/>
    </w:rPr>
  </w:style>
  <w:style w:type="character" w:customStyle="1" w:styleId="18">
    <w:name w:val="标题 2 字符"/>
    <w:link w:val="4"/>
    <w:semiHidden/>
    <w:qFormat/>
    <w:locked/>
    <w:uiPriority w:val="99"/>
    <w:rPr>
      <w:rFonts w:ascii="Cambria" w:hAnsi="Cambria" w:eastAsia="宋体"/>
      <w:b/>
      <w:sz w:val="32"/>
    </w:rPr>
  </w:style>
  <w:style w:type="character" w:customStyle="1" w:styleId="19">
    <w:name w:val="称呼 字符"/>
    <w:link w:val="2"/>
    <w:semiHidden/>
    <w:qFormat/>
    <w:locked/>
    <w:uiPriority w:val="99"/>
    <w:rPr>
      <w:rFonts w:ascii="Calibri" w:hAnsi="Calibri"/>
      <w:sz w:val="24"/>
    </w:rPr>
  </w:style>
  <w:style w:type="character" w:customStyle="1" w:styleId="20">
    <w:name w:val="正文文本 字符"/>
    <w:link w:val="5"/>
    <w:semiHidden/>
    <w:qFormat/>
    <w:locked/>
    <w:uiPriority w:val="99"/>
    <w:rPr>
      <w:rFonts w:ascii="Calibri" w:hAnsi="Calibri"/>
      <w:sz w:val="24"/>
    </w:rPr>
  </w:style>
  <w:style w:type="character" w:customStyle="1" w:styleId="21">
    <w:name w:val="页脚 字符"/>
    <w:link w:val="7"/>
    <w:semiHidden/>
    <w:qFormat/>
    <w:locked/>
    <w:uiPriority w:val="99"/>
    <w:rPr>
      <w:rFonts w:ascii="Calibri" w:hAnsi="Calibri"/>
      <w:sz w:val="18"/>
    </w:rPr>
  </w:style>
  <w:style w:type="character" w:customStyle="1" w:styleId="22">
    <w:name w:val="页眉 字符"/>
    <w:link w:val="8"/>
    <w:semiHidden/>
    <w:qFormat/>
    <w:locked/>
    <w:uiPriority w:val="99"/>
    <w:rPr>
      <w:rFonts w:ascii="Calibri" w:hAnsi="Calibri"/>
      <w:sz w:val="18"/>
    </w:rPr>
  </w:style>
  <w:style w:type="character" w:customStyle="1" w:styleId="23">
    <w:name w:val="HTML 预设格式 字符"/>
    <w:link w:val="9"/>
    <w:semiHidden/>
    <w:qFormat/>
    <w:locked/>
    <w:uiPriority w:val="99"/>
    <w:rPr>
      <w:rFonts w:ascii="Courier New" w:hAnsi="Courier New"/>
      <w:sz w:val="20"/>
    </w:rPr>
  </w:style>
  <w:style w:type="character" w:customStyle="1" w:styleId="24">
    <w:name w:val="font41"/>
    <w:qFormat/>
    <w:uiPriority w:val="99"/>
    <w:rPr>
      <w:rFonts w:ascii="方正小标宋_GBK" w:hAnsi="方正小标宋_GBK" w:eastAsia="方正小标宋_GBK"/>
      <w:color w:val="000000"/>
      <w:sz w:val="48"/>
      <w:u w:val="none"/>
    </w:rPr>
  </w:style>
  <w:style w:type="character" w:customStyle="1" w:styleId="25">
    <w:name w:val="font31"/>
    <w:qFormat/>
    <w:uiPriority w:val="99"/>
    <w:rPr>
      <w:rFonts w:ascii="方正黑体_GBK" w:hAnsi="方正黑体_GBK" w:eastAsia="方正黑体_GBK"/>
      <w:color w:val="000000"/>
      <w:sz w:val="24"/>
      <w:u w:val="none"/>
    </w:rPr>
  </w:style>
  <w:style w:type="character" w:customStyle="1" w:styleId="26">
    <w:name w:val="font21"/>
    <w:qFormat/>
    <w:uiPriority w:val="99"/>
    <w:rPr>
      <w:rFonts w:ascii="Times New Roman" w:hAnsi="Times New Roman"/>
      <w:color w:val="000000"/>
      <w:sz w:val="24"/>
      <w:u w:val="none"/>
    </w:rPr>
  </w:style>
  <w:style w:type="character" w:customStyle="1" w:styleId="27">
    <w:name w:val="font51"/>
    <w:qFormat/>
    <w:uiPriority w:val="99"/>
    <w:rPr>
      <w:rFonts w:ascii="方正仿宋_GBK" w:hAnsi="方正仿宋_GBK" w:eastAsia="方正仿宋_GBK"/>
      <w:color w:val="000000"/>
      <w:sz w:val="24"/>
      <w:u w:val="none"/>
    </w:rPr>
  </w:style>
  <w:style w:type="character" w:customStyle="1" w:styleId="28">
    <w:name w:val="批注框文本 字符"/>
    <w:link w:val="6"/>
    <w:semiHidden/>
    <w:qFormat/>
    <w:locked/>
    <w:uiPriority w:val="99"/>
    <w:rPr>
      <w:rFonts w:ascii="Calibri" w:hAnsi="Calibri"/>
      <w:kern w:val="2"/>
      <w:sz w:val="18"/>
    </w:rPr>
  </w:style>
  <w:style w:type="paragraph" w:customStyle="1" w:styleId="29">
    <w:name w:val="Revision"/>
    <w:hidden/>
    <w:unhideWhenUsed/>
    <w:qFormat/>
    <w:uiPriority w:val="99"/>
    <w:rPr>
      <w:rFonts w:ascii="Calibri" w:hAnsi="Calibri"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8869</Words>
  <Characters>9271</Characters>
  <Lines>57</Lines>
  <Paragraphs>16</Paragraphs>
  <TotalTime>2</TotalTime>
  <ScaleCrop>false</ScaleCrop>
  <LinksUpToDate>false</LinksUpToDate>
  <CharactersWithSpaces>9303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2022-04-25T17:35:00Z</dcterms:created>
  <dc:creator>User</dc:creator>
  <cp:lastModifiedBy>Leo-yan</cp:lastModifiedBy>
  <cp:lastPrinted>2022-09-22T12:11:00Z</cp:lastPrinted>
  <dcterms:modified xsi:type="dcterms:W3CDTF">2023-11-30T03:21:00Z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93BBF71C174F4B26AAEBF2176DED0CA2_13</vt:lpwstr>
  </property>
</Properties>
</file>