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Cs w:val="32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武侯区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加快建设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微波射频产业高质量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发展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引领区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的政策措施</w:t>
      </w:r>
    </w:p>
    <w:p>
      <w:pPr>
        <w:pStyle w:val="10"/>
        <w:keepNext w:val="0"/>
        <w:keepLines w:val="0"/>
        <w:pageBreakBefore w:val="0"/>
        <w:kinsoku/>
        <w:overflowPunct/>
        <w:autoSpaceDE/>
        <w:autoSpaceDN/>
        <w:bidi w:val="0"/>
        <w:spacing w:after="0" w:line="590" w:lineRule="exact"/>
        <w:ind w:firstLine="0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/>
        </w:rPr>
        <w:t>征求意见稿</w:t>
      </w:r>
      <w:bookmarkStart w:id="1" w:name="_GoBack"/>
      <w:bookmarkEnd w:id="1"/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  <w:t>）</w:t>
      </w:r>
    </w:p>
    <w:p>
      <w:pPr>
        <w:pStyle w:val="5"/>
        <w:rPr>
          <w:rFonts w:hint="default"/>
          <w:color w:val="00000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深入贯彻党的二十大精神，全面落实省、市系列发展战略部署，加快推进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产业建圈强链，做优做强优势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特色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产业，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打造国家级中小企业特色产业集群，加快建设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微波射频产业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高质量发展引领区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结合武侯区实际，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制定本政策。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79" w:lineRule="exact"/>
        <w:ind w:left="1350" w:leftChars="0" w:hanging="7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支持产业招大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育新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 w:firstLineChars="200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第一条 支持重大项目落地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对投资1亿元（含）以上新建成的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</w:rPr>
        <w:t>微波射频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项目，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</w:rPr>
        <w:t>按实际固定资产投入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含购置用于项目的国有载体费用</w:t>
      </w:r>
      <w:r>
        <w:rPr>
          <w:rFonts w:hint="eastAsia" w:ascii="仿宋_GB2312" w:hAnsi="仿宋_GB2312" w:cs="仿宋_GB2312"/>
          <w:i w:val="0"/>
          <w:iCs w:val="0"/>
          <w:caps w:val="0"/>
          <w:color w:val="222222"/>
          <w:spacing w:val="5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</w:rPr>
        <w:t>不含土地购置费）的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5%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</w:rPr>
        <w:t>给予项目企业最高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</w:rPr>
        <w:t>000万元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/>
        </w:rPr>
        <w:t>奖励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</w:rPr>
        <w:t>特别重大项目，另行“一事一议”支持。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对央企、中国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制造业500强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主板或科创板上市企业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二级及以上成员单位、国家级“专精特新”小巨人企业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落户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武侯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成立分支机构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研究中心或技术转移机构并实际运营一年（含）以上的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给予50万元开办奖励。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Chars="200" w:firstLine="316" w:firstLineChars="100"/>
        <w:jc w:val="both"/>
        <w:textAlignment w:val="auto"/>
        <w:rPr>
          <w:rFonts w:hint="default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第二条 支持产业集聚发展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 xml:space="preserve">    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对新落地中小企业，实缴注册资本金200万元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（含）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以上，首个自然年度内主营业务收达500万元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（含）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以上的，首年按租赁不超过2000平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方米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（含）国有载体生产办公用房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给予实际支出租金50%，最高50万元租金补贴；此后两年企业主营业务收入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增幅保持15%（含）以上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，可持续按此标准补贴。</w:t>
      </w:r>
      <w:bookmarkStart w:id="0" w:name="_Hlk131508533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如补贴执行期内企业年营业收入超2000万元并上规入库，场地租金补贴比例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上规之日起提升至100%。本政策自企业注册之日起最长补贴3年。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 xml:space="preserve">    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对高校院所科技人才带科技成果在武侯创办、领办科技企业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注册资本金100万元（含）以上，实缴注册资本金50万元（含）以上，给予不超过300平方米场地1年期租金补贴或最高15万元租金补贴。第二年入选科技型中小企业且营收500万元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（含）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以上，第三年营收1000万元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（含）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以上或通过高企认定的，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可持续按此标准补贴。本政策自企业注册之日起最长补贴3年。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79" w:lineRule="exact"/>
        <w:ind w:left="1350" w:leftChars="0" w:hanging="72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支持产业创新发展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第三条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支持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开放共享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公共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技术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服务平台建设。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5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对建设面向社会开放的测量测试、微组装、流片及封装等公共服务平台，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按平台设备硬件和专业软件投入的30%给予最高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-SA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00万元补贴。对纳入市级及以上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-SA"/>
        </w:rPr>
        <w:t>公共服务平台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认定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-SA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，按平台对外服务年收入的30%给予连续3年，累计最高300万元的运行绩效奖励。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firstLine="632" w:firstLineChars="200"/>
        <w:jc w:val="both"/>
        <w:textAlignment w:val="auto"/>
        <w:rPr>
          <w:rFonts w:hint="default"/>
          <w:color w:val="00000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第四条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支持新型研究机构建设。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按“一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一策”支持高校院所、科技领军企业组建以基础应用研究、科技成果转化为导向的产业研究院。对获得省、市新研机构备案或绩效奖励的给予1:1配套奖励。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autoSpaceDN/>
        <w:bidi w:val="0"/>
        <w:spacing w:before="0" w:beforeAutospacing="0" w:after="0" w:afterAutospacing="0" w:line="579" w:lineRule="exact"/>
        <w:ind w:right="0" w:rightChars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-SA"/>
        </w:rPr>
        <w:t>第五条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支持科创联盟建设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。支持链主企业、科技领军企业牵头区内企业组建科创联盟，围绕专用高端射频芯片、高集成器件/组件和高端仪器设备国产化替代等领域，开展重大科技攻关转化应用和推广示范的，经认定按项目投入的20%，给予单个项目最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00万元支持。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对联盟内企业新获军工资质“三证”的，给予企业每证10万元奖励；对保密资质升级（含首次新认定）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，给予企业5万元奖励。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0" w:leftChars="0" w:firstLine="640" w:firstLineChars="0"/>
        <w:jc w:val="left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第</w:t>
      </w:r>
      <w:r>
        <w:rPr>
          <w:rFonts w:hint="default" w:ascii="楷体_GB2312" w:hAnsi="楷体_GB2312" w:eastAsia="楷体_GB2312" w:cs="楷体_GB2312"/>
          <w:color w:val="000000"/>
          <w:kern w:val="2"/>
          <w:sz w:val="32"/>
          <w:szCs w:val="32"/>
          <w:lang w:eastAsia="zh-CN" w:bidi="ar-SA"/>
        </w:rPr>
        <w:t>六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 xml:space="preserve">条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鼓励微波射频整机研制。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得军工装备大院大所总体、关键分系统、核心配套产品整机研制项目，按项目合同的10%，给予企业最高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00万元补助。对民企首次作为军品总体研制单位参与的项目，根据实际项目合同金额的10%，给予最高50万元奖励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79" w:lineRule="exact"/>
        <w:ind w:left="1350" w:leftChars="0" w:hanging="720" w:firstLine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强化金融服务赋能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第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七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条 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采取专项贷款补贴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联合银行机构设立“微波贷”金融产品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武侯区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存续2年（含）以上的“四上”企业、“专精特新”企业、高新技术企业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通过重点金融机构获得2年期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（含）以上，单笔50万元（含）以上，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累计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不超过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1000万元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（含）的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贷款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并按时还款的，按照企业实际支付利息的50%给予补贴，每家企业每年最高补贴20万元。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第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八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条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促进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专项产业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基金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投资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鼓励社会资本到武侯设立微波射频领域产业基金。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在区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成立基金管理公司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风险投资、股权投资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并实际运营一年（含）以上的机构，按其对区内微波射频企业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投资额的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给予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累计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最高200万元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奖励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79" w:lineRule="exact"/>
        <w:ind w:left="1350" w:leftChars="0" w:hanging="720" w:firstLine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支持特色产业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楼宇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打造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79" w:lineRule="exact"/>
        <w:ind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第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九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条 提升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微波射频楼宇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专业运营能力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对省级及以上孵化器、专业技术转移机构，知名专业园区运营机构、行业组织入驻区内，打造微波射频专业特色楼宇的，经认定，给予一次性200万元入驻补贴。根据入驻后开展创新成果孵化、企业招引集聚、行业服务、产业品牌打造等方面成效，每年给予最高500万元绩效奖励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79" w:lineRule="exact"/>
        <w:ind w:left="1350" w:leftChars="0" w:hanging="720" w:firstLine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支持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产业协同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发展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第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十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支持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产业链垂直整合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发展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支持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链主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企业通过兼并收购等活动，重组、整合产业链上下游，对成功并购产业链上下游的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链主企业，按实际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并购金额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的2.5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%，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给予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最高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500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"/>
        </w:rPr>
        <w:t>万元的奖励。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autoSpaceDE w:val="0"/>
        <w:autoSpaceDN/>
        <w:bidi w:val="0"/>
        <w:spacing w:before="0" w:beforeAutospacing="0" w:after="0" w:afterAutospacing="0" w:line="579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eastAsia="zh-CN" w:bidi="ar-SA"/>
        </w:rPr>
        <w:t>十</w:t>
      </w:r>
      <w:r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eastAsia="zh-CN" w:bidi="ar-SA"/>
        </w:rPr>
        <w:t>一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条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eastAsia="zh-CN" w:bidi="ar-SA"/>
        </w:rPr>
        <w:t>鼓励产业上下游配套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对区内规上企业首次采购非关联企业自主研发微波射频产品5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00万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元（含）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  <w:t>以上的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，按年度实际采购金额的5%予以补贴，同一企业年度补贴总额不超过100万元。鼓励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有资质的检测机构，对区内企业提供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-SA"/>
        </w:rPr>
        <w:t>优质优价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专业检测认证服务，按其提供服务收入的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％，给予每个检测机构每年最高不超过100万元补贴。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第十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二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条 鼓励企业军民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 w:bidi="ar-SA"/>
        </w:rPr>
        <w:t>协同市场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拓展。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企业参加国家、省、市、区统一组织的国内外市场拓展活动参展的，按展位费50%给予补助，同一企业同一展会最高补贴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万元，同一企业年度补贴总额不超过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万元。各级补助比例累计最高不超过展位费80%。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after="0" w:line="579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条 支持民营企业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/>
        </w:rPr>
        <w:t>综合能力提升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民营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企业高管参加国家、省、市、区各级组织的收费性职业能力培训，给予50%学费补贴，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每家企业最高补贴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万元，省、市、区各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级累计补贴最高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不超过学费的80%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79" w:lineRule="exact"/>
        <w:ind w:left="1350" w:leftChars="0" w:hanging="720" w:firstLine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附则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beforeAutospacing="0" w:afterAutospacing="0" w:line="579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（一）适用范围。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本政策措施适用于工商注册地、税务征管关系以及统计关系在成都市武侯区，主营业务为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天线、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射频芯片、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数模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芯片、组件/器件、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模组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整机及下游应用端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研发和生产企业以及相关科研单位、服务平台、创新载体等机构。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</w:rPr>
        <w:t>企业管理规范，无不良信用记录，自觉遵守安全生产、环境保护等方面的法律法规，近三年未发生安全生产和环境污染重大事故。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240" w:lineRule="auto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kern w:val="44"/>
          <w:sz w:val="32"/>
          <w:szCs w:val="32"/>
          <w:highlight w:val="none"/>
          <w:lang w:eastAsia="zh-CN" w:bidi="ar"/>
        </w:rPr>
        <w:t>（</w:t>
      </w:r>
      <w:r>
        <w:rPr>
          <w:rFonts w:hint="default" w:ascii="Times New Roman" w:hAnsi="Times New Roman" w:eastAsia="楷体_GB2312" w:cs="Times New Roman"/>
          <w:color w:val="000000"/>
          <w:kern w:val="44"/>
          <w:sz w:val="32"/>
          <w:szCs w:val="32"/>
          <w:highlight w:val="none"/>
          <w:lang w:val="en-US" w:eastAsia="zh-CN" w:bidi="ar"/>
        </w:rPr>
        <w:t>二</w:t>
      </w:r>
      <w:r>
        <w:rPr>
          <w:rFonts w:hint="default" w:ascii="Times New Roman" w:hAnsi="Times New Roman" w:eastAsia="楷体_GB2312" w:cs="Times New Roman"/>
          <w:color w:val="000000"/>
          <w:kern w:val="44"/>
          <w:sz w:val="32"/>
          <w:szCs w:val="32"/>
          <w:highlight w:val="none"/>
          <w:lang w:eastAsia="zh-CN" w:bidi="ar"/>
        </w:rPr>
        <w:t>）</w:t>
      </w:r>
      <w:r>
        <w:rPr>
          <w:rFonts w:hint="default" w:ascii="Times New Roman" w:hAnsi="Times New Roman" w:eastAsia="楷体_GB2312" w:cs="Times New Roman"/>
          <w:color w:val="000000"/>
          <w:kern w:val="44"/>
          <w:sz w:val="32"/>
          <w:szCs w:val="32"/>
          <w:highlight w:val="none"/>
          <w:lang w:bidi="ar"/>
        </w:rPr>
        <w:t>政策解释。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本政策由区新经济局会同有关部门进行解释。同一企业或人才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与省、市、区其他同类扶持政策条款相关规定（含上级部门要求区配套或承担资金的政策规定）有重复、交叉的，按照从新、从优、从高不重复的原则予以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支持，另有规定除外。</w:t>
      </w:r>
      <w:r>
        <w:rPr>
          <w:rFonts w:hint="eastAsia" w:ascii="宋体" w:hAnsi="宋体" w:eastAsia="仿宋_GB2312" w:cs="仿宋"/>
          <w:b w:val="0"/>
          <w:i w:val="0"/>
          <w:snapToGrid/>
          <w:vanish w:val="0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"/>
        </w:rPr>
        <w:t>享受本政策扶持的对象，须接受行业主管部门的监督并签订承诺书，承诺自获得最后一笔补贴当年起五年内若迁出武侯区的，应退所获取所有扶持补贴。</w:t>
      </w:r>
    </w:p>
    <w:p>
      <w:pPr>
        <w:keepNext w:val="0"/>
        <w:keepLines w:val="0"/>
        <w:widowControl/>
        <w:suppressLineNumbers w:val="0"/>
        <w:ind w:left="0" w:firstLine="632" w:firstLineChars="200"/>
        <w:jc w:val="left"/>
        <w:rPr>
          <w:rFonts w:eastAsia="黑体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304" w:bottom="1985" w:left="1531" w:header="851" w:footer="1678" w:gutter="0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楷体_GB2312" w:cs="Times New Roman"/>
          <w:color w:val="000000"/>
          <w:kern w:val="44"/>
          <w:sz w:val="32"/>
          <w:szCs w:val="32"/>
          <w:highlight w:val="none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44"/>
          <w:sz w:val="32"/>
          <w:szCs w:val="32"/>
          <w:highlight w:val="none"/>
          <w:lang w:val="en-US" w:eastAsia="zh-CN" w:bidi="ar"/>
        </w:rPr>
        <w:t>有效期限。</w:t>
      </w:r>
      <w:r>
        <w:rPr>
          <w:rFonts w:hint="eastAsia" w:ascii="宋体" w:hAnsi="宋体" w:eastAsia="仿宋_GB2312" w:cs="仿宋"/>
          <w:color w:val="000000"/>
          <w:kern w:val="2"/>
          <w:sz w:val="32"/>
          <w:szCs w:val="32"/>
          <w:u w:val="none"/>
          <w:lang w:val="en-US" w:eastAsia="zh-CN" w:bidi="ar"/>
        </w:rPr>
        <w:t>本政策自印发之日起30日后施行，有</w:t>
      </w:r>
      <w:r>
        <w:rPr>
          <w:rFonts w:hint="eastAsia" w:ascii="宋体" w:hAnsi="宋体" w:eastAsia="仿宋_GB2312" w:cs="仿宋"/>
          <w:color w:val="000000"/>
          <w:sz w:val="32"/>
          <w:szCs w:val="32"/>
          <w:u w:val="none"/>
          <w:lang w:bidi="ar"/>
        </w:rPr>
        <w:t>效期3年</w:t>
      </w:r>
    </w:p>
    <w:p/>
    <w:sectPr>
      <w:footerReference r:id="rId6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3" w:rightChars="11"/>
                            <w:rPr>
                              <w:rStyle w:val="13"/>
                              <w:sz w:val="28"/>
                            </w:rPr>
                          </w:pPr>
                          <w:r>
                            <w:rPr>
                              <w:rStyle w:val="13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仿宋_GB2312" w:eastAsia="仿宋_GB2312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仿宋_GB2312" w:eastAsia="仿宋_GB2312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3" w:rightChars="11"/>
                      <w:rPr>
                        <w:rStyle w:val="13"/>
                        <w:sz w:val="28"/>
                      </w:rPr>
                    </w:pPr>
                    <w:r>
                      <w:rPr>
                        <w:rStyle w:val="13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3"/>
                        <w:sz w:val="28"/>
                      </w:rPr>
                      <w:t xml:space="preserve"> </w: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仿宋_GB2312" w:eastAsia="仿宋_GB2312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13"/>
                        <w:rFonts w:ascii="仿宋_GB2312" w:eastAsia="仿宋_GB2312"/>
                        <w:sz w:val="28"/>
                      </w:rPr>
                      <w:t>1</w:t>
                    </w:r>
                    <w:r>
                      <w:rPr>
                        <w:rFonts w:hint="eastAsia" w:ascii="仿宋_GB2312" w:eastAsia="仿宋_GB2312"/>
                        <w:sz w:val="28"/>
                      </w:rPr>
                      <w:fldChar w:fldCharType="end"/>
                    </w:r>
                    <w:r>
                      <w:rPr>
                        <w:rStyle w:val="13"/>
                        <w:sz w:val="28"/>
                      </w:rPr>
                      <w:t xml:space="preserve"> </w:t>
                    </w:r>
                    <w:r>
                      <w:rPr>
                        <w:rStyle w:val="13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891" w:y="-76"/>
      <w:ind w:right="23" w:rightChars="11"/>
      <w:rPr>
        <w:rStyle w:val="13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rFonts w:hint="eastAsia" w:ascii="仿宋_GB2312" w:eastAsia="仿宋_GB2312"/>
        <w:sz w:val="28"/>
      </w:rPr>
      <w:fldChar w:fldCharType="begin"/>
    </w:r>
    <w:r>
      <w:rPr>
        <w:rStyle w:val="13"/>
        <w:rFonts w:hint="eastAsia" w:ascii="仿宋_GB2312" w:eastAsia="仿宋_GB2312"/>
        <w:sz w:val="28"/>
      </w:rPr>
      <w:instrText xml:space="preserve">PAGE  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13"/>
        <w:rFonts w:ascii="仿宋_GB2312" w:eastAsia="仿宋_GB2312"/>
        <w:sz w:val="28"/>
      </w:rPr>
      <w:t>2</w:t>
    </w:r>
    <w:r>
      <w:rPr>
        <w:rFonts w:hint="eastAsia" w:ascii="仿宋_GB2312" w:eastAsia="仿宋_GB2312"/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NDMwYzFiMzkzMzM5MDJlYzBjNGFmZjZmNGU3NWQifQ=="/>
  </w:docVars>
  <w:rsids>
    <w:rsidRoot w:val="00000000"/>
    <w:rsid w:val="03610A19"/>
    <w:rsid w:val="07D6476B"/>
    <w:rsid w:val="08A121BE"/>
    <w:rsid w:val="093700E7"/>
    <w:rsid w:val="0EEB01ED"/>
    <w:rsid w:val="0FD6625E"/>
    <w:rsid w:val="107E48E7"/>
    <w:rsid w:val="159852FC"/>
    <w:rsid w:val="1A0F7C07"/>
    <w:rsid w:val="1A1A79BE"/>
    <w:rsid w:val="1B591C1A"/>
    <w:rsid w:val="1D481AAC"/>
    <w:rsid w:val="1DA6584A"/>
    <w:rsid w:val="1F1E52EF"/>
    <w:rsid w:val="2008481B"/>
    <w:rsid w:val="225C17EC"/>
    <w:rsid w:val="237D6A3A"/>
    <w:rsid w:val="255B1DFF"/>
    <w:rsid w:val="26731922"/>
    <w:rsid w:val="2BA7770F"/>
    <w:rsid w:val="2D7A6FE0"/>
    <w:rsid w:val="2D8E13E7"/>
    <w:rsid w:val="31CB7D21"/>
    <w:rsid w:val="322841C1"/>
    <w:rsid w:val="3282111E"/>
    <w:rsid w:val="32BF695B"/>
    <w:rsid w:val="34666505"/>
    <w:rsid w:val="34AE217C"/>
    <w:rsid w:val="357740AB"/>
    <w:rsid w:val="397E50E2"/>
    <w:rsid w:val="3BBC4B2B"/>
    <w:rsid w:val="3C402568"/>
    <w:rsid w:val="3DFB1F22"/>
    <w:rsid w:val="3F4263D8"/>
    <w:rsid w:val="45177768"/>
    <w:rsid w:val="45D43FEC"/>
    <w:rsid w:val="45F91CA4"/>
    <w:rsid w:val="49F772E6"/>
    <w:rsid w:val="4BD33AC2"/>
    <w:rsid w:val="51AC324B"/>
    <w:rsid w:val="5333550F"/>
    <w:rsid w:val="54EB2A20"/>
    <w:rsid w:val="54F50104"/>
    <w:rsid w:val="578F1242"/>
    <w:rsid w:val="57FD096B"/>
    <w:rsid w:val="589954B5"/>
    <w:rsid w:val="5B5B7524"/>
    <w:rsid w:val="5CCF384B"/>
    <w:rsid w:val="60AA14A4"/>
    <w:rsid w:val="627757BC"/>
    <w:rsid w:val="630241C8"/>
    <w:rsid w:val="668612EA"/>
    <w:rsid w:val="6AE82164"/>
    <w:rsid w:val="6B8816F8"/>
    <w:rsid w:val="716C522F"/>
    <w:rsid w:val="71C852BA"/>
    <w:rsid w:val="733028FA"/>
    <w:rsid w:val="73834D93"/>
    <w:rsid w:val="751B470E"/>
    <w:rsid w:val="75E37678"/>
    <w:rsid w:val="7B486731"/>
    <w:rsid w:val="7C9710F6"/>
    <w:rsid w:val="7D423956"/>
    <w:rsid w:val="7FDF5213"/>
    <w:rsid w:val="E5DF50A3"/>
    <w:rsid w:val="F3EF83BF"/>
    <w:rsid w:val="FAF0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Salutation"/>
    <w:basedOn w:val="1"/>
    <w:next w:val="1"/>
    <w:qFormat/>
    <w:uiPriority w:val="99"/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qFormat/>
    <w:uiPriority w:val="0"/>
    <w:pPr>
      <w:ind w:firstLine="640"/>
    </w:pPr>
    <w:rPr>
      <w:rFonts w:eastAsia="仿宋_GB2312"/>
    </w:rPr>
  </w:style>
  <w:style w:type="character" w:styleId="13">
    <w:name w:val="page number"/>
    <w:basedOn w:val="12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2023-09-18T15:10:00Z</dcterms:created>
  <dc:creator>Administrator</dc:creator>
  <cp:lastModifiedBy>平和</cp:lastModifiedBy>
  <cp:lastPrinted>2023-09-18T08:27:00Z</cp:lastPrinted>
  <dcterms:modified xsi:type="dcterms:W3CDTF">2023-11-23T08:58:46Z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9540D250D9A04E81AC41F2422340F82B</vt:lpwstr>
  </property>
</Properties>
</file>