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成都高新技术产业开发区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关于支持企业“四上”高质量发展的若干政策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为进一步推动高新区企业</w:t>
      </w:r>
      <w:r>
        <w:rPr>
          <w:rFonts w:hint="eastAsia" w:ascii="Times New Roman" w:hAnsi="Times New Roman" w:eastAsia="方正仿宋" w:cs="仿宋"/>
          <w:sz w:val="32"/>
          <w:szCs w:val="32"/>
          <w:lang w:val="en-US" w:eastAsia="zh-CN"/>
        </w:rPr>
        <w:t>“上规、上榜、上云、上市”，</w:t>
      </w:r>
      <w:r>
        <w:rPr>
          <w:rFonts w:hint="eastAsia" w:ascii="Times New Roman" w:hAnsi="Times New Roman" w:cs="Times New Roman"/>
          <w:lang w:val="en-US" w:eastAsia="zh-CN"/>
        </w:rPr>
        <w:t>加快</w:t>
      </w:r>
      <w:r>
        <w:rPr>
          <w:rFonts w:hint="default" w:ascii="Times New Roman" w:hAnsi="Times New Roman" w:cs="Times New Roman"/>
          <w:lang w:val="en-US" w:eastAsia="zh-CN"/>
        </w:rPr>
        <w:t>构建完善企业</w:t>
      </w:r>
      <w:r>
        <w:rPr>
          <w:rFonts w:hint="eastAsia" w:ascii="Times New Roman" w:hAnsi="Times New Roman" w:cs="Times New Roman"/>
          <w:lang w:val="en-US" w:eastAsia="zh-CN"/>
        </w:rPr>
        <w:t>“四上”</w:t>
      </w:r>
      <w:r>
        <w:rPr>
          <w:rFonts w:hint="default" w:ascii="Times New Roman" w:hAnsi="Times New Roman" w:cs="Times New Roman"/>
          <w:lang w:val="en-US" w:eastAsia="zh-CN"/>
        </w:rPr>
        <w:t>培育服务体系，引导</w:t>
      </w:r>
      <w:r>
        <w:rPr>
          <w:rFonts w:hint="eastAsia" w:ascii="Times New Roman" w:hAnsi="Times New Roman" w:cs="Times New Roman"/>
          <w:lang w:val="en-US" w:eastAsia="zh-CN"/>
        </w:rPr>
        <w:t>和支持民营</w:t>
      </w:r>
      <w:r>
        <w:rPr>
          <w:rFonts w:hint="default" w:ascii="Times New Roman" w:hAnsi="Times New Roman" w:cs="Times New Roman"/>
          <w:lang w:val="en-US" w:eastAsia="zh-CN"/>
        </w:rPr>
        <w:t>企业高质量发展，</w:t>
      </w:r>
      <w:r>
        <w:rPr>
          <w:rFonts w:hint="eastAsia" w:ascii="Times New Roman" w:hAnsi="Times New Roman" w:cs="Times New Roman"/>
          <w:lang w:val="en-US" w:eastAsia="zh-CN"/>
        </w:rPr>
        <w:t>促进民营经济提质增效，</w:t>
      </w:r>
      <w:r>
        <w:rPr>
          <w:rFonts w:hint="default" w:ascii="Times New Roman" w:hAnsi="Times New Roman" w:cs="Times New Roman"/>
          <w:lang w:val="en-US" w:eastAsia="zh-CN"/>
        </w:rPr>
        <w:t>结合高新区实际，特制定本政策。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一、支持企业</w:t>
      </w:r>
      <w:r>
        <w:rPr>
          <w:rFonts w:hint="eastAsia" w:ascii="Times New Roman" w:hAnsi="Times New Roman" w:eastAsia="方正黑体_GBK" w:cs="Times New Roman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lang w:val="en-US" w:eastAsia="zh-CN"/>
        </w:rPr>
        <w:t>上规</w:t>
      </w:r>
      <w:r>
        <w:rPr>
          <w:rFonts w:hint="eastAsia" w:ascii="Times New Roman" w:hAnsi="Times New Roman" w:eastAsia="方正黑体_GBK" w:cs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lang w:val="en-US" w:eastAsia="zh-CN"/>
        </w:rPr>
        <w:t>上规入库</w:t>
      </w:r>
      <w:r>
        <w:rPr>
          <w:rFonts w:hint="default" w:ascii="Times New Roman" w:hAnsi="Times New Roman" w:eastAsia="方正楷体_GBK" w:cs="Times New Roman"/>
          <w:lang w:val="en-US" w:eastAsia="zh-CN"/>
        </w:rPr>
        <w:t>奖励。</w:t>
      </w:r>
      <w:r>
        <w:rPr>
          <w:rFonts w:hint="default" w:ascii="Times New Roman" w:hAnsi="Times New Roman" w:cs="Times New Roman"/>
          <w:lang w:val="en-US" w:eastAsia="zh-CN"/>
        </w:rPr>
        <w:t>对首次</w:t>
      </w:r>
      <w:r>
        <w:rPr>
          <w:rFonts w:hint="eastAsia" w:ascii="Times New Roman" w:hAnsi="Times New Roman" w:cs="Times New Roman"/>
          <w:lang w:val="en-US" w:eastAsia="zh-CN"/>
        </w:rPr>
        <w:t>进入规模以上工业、服务业企业名录库及限额以上商贸业企业名录的企业，分别</w:t>
      </w:r>
      <w:r>
        <w:rPr>
          <w:rFonts w:hint="default" w:ascii="Times New Roman" w:hAnsi="Times New Roman" w:cs="Times New Roman"/>
          <w:lang w:val="en-US" w:eastAsia="zh-CN"/>
        </w:rPr>
        <w:t>给予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en-US" w:eastAsia="zh-CN"/>
        </w:rPr>
        <w:t>万元</w:t>
      </w:r>
      <w:r>
        <w:rPr>
          <w:rFonts w:hint="eastAsia" w:ascii="Times New Roman" w:hAnsi="Times New Roman" w:cs="Times New Roman"/>
          <w:lang w:val="en-US" w:eastAsia="zh-CN"/>
        </w:rPr>
        <w:t>、5万元、2万元</w:t>
      </w:r>
      <w:r>
        <w:rPr>
          <w:rFonts w:hint="default" w:ascii="Times New Roman" w:hAnsi="Times New Roman" w:cs="Times New Roman"/>
          <w:lang w:val="en-US" w:eastAsia="zh-CN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（二）上规贡献奖励。</w:t>
      </w:r>
      <w:r>
        <w:rPr>
          <w:rFonts w:hint="default" w:ascii="Times New Roman" w:hAnsi="Times New Roman" w:cs="Times New Roman"/>
          <w:lang w:val="en-US" w:eastAsia="zh-CN"/>
        </w:rPr>
        <w:t>对首次进入规模以上工业企业名录库且年度营业收入在5000万元（含）—1亿元之间的企业，给予20万元奖励；年度营业收入在1亿元（含）以上的，给予30万元奖励。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二、支持企业</w:t>
      </w:r>
      <w:r>
        <w:rPr>
          <w:rFonts w:hint="eastAsia" w:ascii="Times New Roman" w:hAnsi="Times New Roman" w:eastAsia="方正黑体_GBK" w:cs="Times New Roman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lang w:val="en-US" w:eastAsia="zh-CN"/>
        </w:rPr>
        <w:t>上榜</w:t>
      </w:r>
      <w:r>
        <w:rPr>
          <w:rFonts w:hint="eastAsia" w:ascii="Times New Roman" w:hAnsi="Times New Roman" w:eastAsia="方正黑体_GBK" w:cs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（三）鼓励企业申报认定“首台套”。</w:t>
      </w:r>
      <w:r>
        <w:rPr>
          <w:rFonts w:hint="eastAsia" w:ascii="Times New Roman" w:hAnsi="Times New Roman" w:cs="Times New Roman"/>
          <w:lang w:val="en-US" w:eastAsia="zh-CN"/>
        </w:rPr>
        <w:t>对新列入《四川省首台套首批次首版次产品公告》的首台套首批次首版次产品，按产品个数给予申报认定企业最高不超过50万元奖励（单个认定产品10万元奖励，同一产品不同版本、规格、型号等不重复计数）。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lang w:val="en-US" w:eastAsia="zh-CN"/>
        </w:rPr>
        <w:t>）鼓励企业</w:t>
      </w:r>
      <w:r>
        <w:rPr>
          <w:rFonts w:hint="eastAsia" w:ascii="Times New Roman" w:hAnsi="Times New Roman" w:eastAsia="方正楷体_GBK" w:cs="Times New Roman"/>
          <w:lang w:val="en-US" w:eastAsia="zh-CN"/>
        </w:rPr>
        <w:t>成为“</w:t>
      </w:r>
      <w:r>
        <w:rPr>
          <w:rFonts w:hint="default" w:ascii="Times New Roman" w:hAnsi="Times New Roman" w:eastAsia="方正楷体_GBK" w:cs="Times New Roman"/>
          <w:lang w:val="en-US" w:eastAsia="zh-CN"/>
        </w:rPr>
        <w:t>专精特新</w:t>
      </w:r>
      <w:r>
        <w:rPr>
          <w:rFonts w:hint="eastAsia" w:ascii="Times New Roman" w:hAnsi="Times New Roman" w:eastAsia="方正楷体_GBK" w:cs="Times New Roman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对认定为四川省创新型中小企业、四川省专精特新企业、国家级专精特新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小巨人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的企业，分别给予2万元、5万元、20万元奖励。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lang w:val="en-US" w:eastAsia="zh-CN"/>
        </w:rPr>
        <w:t>）鼓励企业</w:t>
      </w:r>
      <w:r>
        <w:rPr>
          <w:rFonts w:hint="eastAsia" w:ascii="Times New Roman" w:hAnsi="Times New Roman" w:eastAsia="方正楷体_GBK" w:cs="Times New Roman"/>
          <w:lang w:val="en-US" w:eastAsia="zh-CN"/>
        </w:rPr>
        <w:t>成为“</w:t>
      </w:r>
      <w:r>
        <w:rPr>
          <w:rFonts w:hint="default" w:ascii="Times New Roman" w:hAnsi="Times New Roman" w:eastAsia="方正楷体_GBK" w:cs="Times New Roman"/>
          <w:lang w:val="en-US" w:eastAsia="zh-CN"/>
        </w:rPr>
        <w:t>单项冠军</w:t>
      </w:r>
      <w:r>
        <w:rPr>
          <w:rFonts w:hint="eastAsia" w:ascii="Times New Roman" w:hAnsi="Times New Roman" w:eastAsia="方正楷体_GBK" w:cs="Times New Roman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对认定为国家级制造业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单项冠军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的企业，给予50万元奖励。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lang w:val="en-US" w:eastAsia="zh-CN"/>
        </w:rPr>
        <w:t>）鼓励企业</w:t>
      </w:r>
      <w:r>
        <w:rPr>
          <w:rFonts w:hint="eastAsia" w:ascii="Times New Roman" w:hAnsi="Times New Roman" w:eastAsia="方正楷体_GBK" w:cs="Times New Roman"/>
          <w:lang w:val="en-US" w:eastAsia="zh-CN"/>
        </w:rPr>
        <w:t>冲刺“</w:t>
      </w:r>
      <w:r>
        <w:rPr>
          <w:rFonts w:hint="default" w:ascii="Times New Roman" w:hAnsi="Times New Roman" w:eastAsia="方正楷体_GBK" w:cs="Times New Roman"/>
          <w:lang w:val="en-US" w:eastAsia="zh-CN"/>
        </w:rPr>
        <w:t>500强企业</w:t>
      </w:r>
      <w:r>
        <w:rPr>
          <w:rFonts w:hint="eastAsia" w:ascii="Times New Roman" w:hAnsi="Times New Roman" w:eastAsia="方正楷体_GBK" w:cs="Times New Roman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对首次进入中国民营企业500强（工业领域）、中国企业500强（工业领域）、世界企业500强（工业领域）的企业，分别给予200万元、300万元、500万元奖励。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三、支持企业</w:t>
      </w:r>
      <w:r>
        <w:rPr>
          <w:rFonts w:hint="eastAsia" w:ascii="Times New Roman" w:hAnsi="Times New Roman" w:eastAsia="方正黑体_GBK" w:cs="Times New Roman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lang w:val="en-US" w:eastAsia="zh-CN"/>
        </w:rPr>
        <w:t>上云</w:t>
      </w:r>
      <w:r>
        <w:rPr>
          <w:rFonts w:hint="eastAsia" w:ascii="Times New Roman" w:hAnsi="Times New Roman" w:eastAsia="方正黑体_GBK" w:cs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lang w:val="en-US" w:eastAsia="zh-CN"/>
        </w:rPr>
        <w:t>）鼓励企业</w:t>
      </w:r>
      <w:r>
        <w:rPr>
          <w:rFonts w:hint="eastAsia" w:ascii="Times New Roman" w:hAnsi="Times New Roman" w:eastAsia="方正楷体_GBK" w:cs="Times New Roman"/>
          <w:lang w:val="en-US" w:eastAsia="zh-CN"/>
        </w:rPr>
        <w:t>“</w:t>
      </w:r>
      <w:r>
        <w:rPr>
          <w:rFonts w:hint="default" w:ascii="Times New Roman" w:hAnsi="Times New Roman" w:eastAsia="方正楷体_GBK" w:cs="Times New Roman"/>
          <w:lang w:val="en-US" w:eastAsia="zh-CN"/>
        </w:rPr>
        <w:t>上云用数赋能</w:t>
      </w:r>
      <w:r>
        <w:rPr>
          <w:rFonts w:hint="eastAsia" w:ascii="Times New Roman" w:hAnsi="Times New Roman" w:eastAsia="方正楷体_GBK" w:cs="Times New Roman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对评为四川省五星级、四星级、三星级上云企业称号的，分别给与20万元、10万元、5万元奖励。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四、支持企业</w:t>
      </w:r>
      <w:r>
        <w:rPr>
          <w:rFonts w:hint="eastAsia" w:ascii="Times New Roman" w:hAnsi="Times New Roman" w:eastAsia="方正黑体_GBK" w:cs="Times New Roman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lang w:val="en-US" w:eastAsia="zh-CN"/>
        </w:rPr>
        <w:t>上市</w:t>
      </w:r>
      <w:r>
        <w:rPr>
          <w:rFonts w:hint="eastAsia" w:ascii="Times New Roman" w:hAnsi="Times New Roman" w:eastAsia="方正黑体_GBK" w:cs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lang w:val="en-US" w:eastAsia="zh-CN"/>
        </w:rPr>
        <w:t>）上市后备奖励。</w:t>
      </w:r>
      <w:r>
        <w:rPr>
          <w:rFonts w:hint="default" w:ascii="Times New Roman" w:hAnsi="Times New Roman" w:cs="Times New Roman"/>
          <w:lang w:val="en-US" w:eastAsia="zh-CN"/>
        </w:rPr>
        <w:t>对当年新列入上市后备企业资源库的企业，给予20万元一次性补贴。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lang w:val="en-US" w:eastAsia="zh-CN"/>
        </w:rPr>
        <w:t>）上市挂牌奖励。</w:t>
      </w:r>
      <w:r>
        <w:rPr>
          <w:rFonts w:hint="default" w:ascii="Times New Roman" w:hAnsi="Times New Roman" w:cs="Times New Roman"/>
          <w:lang w:val="en-US" w:eastAsia="zh-CN"/>
        </w:rPr>
        <w:t>对在上交所、深交所、北交所、港交所等境内外主要股票交易场所上市、全国股转系统挂牌的企业，分阶段给予最高300万元奖励。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五、强化企业“四上”服务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lang w:val="en-US" w:eastAsia="zh-CN"/>
        </w:rPr>
        <w:t>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（十）建强企业“四上”培育阵地。</w:t>
      </w:r>
      <w:r>
        <w:rPr>
          <w:rFonts w:hint="default" w:ascii="Times New Roman" w:hAnsi="Times New Roman" w:cs="Times New Roman"/>
          <w:lang w:val="en-US" w:eastAsia="zh-CN"/>
        </w:rPr>
        <w:t>建立健全各级企业服务工作站</w:t>
      </w:r>
      <w:r>
        <w:rPr>
          <w:rFonts w:hint="eastAsia" w:ascii="Times New Roman" w:hAnsi="Times New Roman" w:cs="Times New Roman"/>
          <w:lang w:val="en-US" w:eastAsia="zh-CN"/>
        </w:rPr>
        <w:t>，服务中小企业在政策、市场、融资、载体、人才、知识产权、技术、管理、培训、法律、财税等方面获取便利。对认定通过的企业服务站，按照运营单位提升服务能力和开展服务活动实际支出不超过50%的比例，每年给予最高不超过50万元运营补助。对三年内新注册成立且入驻企业服务站的小微企业，每年按实际缴纳租金30%的比例，给予最高不超过10万元租金补贴。对已入驻企业服务站但工商注册关系在高新区以外的“四上”企业，经企业服务站培育推介后首次落地成都高新区，自工商注册关系变更之日起三年内，每年按实际缴纳租金100%的比例，给予最高不超过30万元租金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val="en-US" w:eastAsia="zh-CN"/>
        </w:rPr>
        <w:t>（十一）支持“四上”企业集聚发展。</w:t>
      </w:r>
      <w:r>
        <w:rPr>
          <w:rFonts w:hint="eastAsia" w:ascii="Times New Roman" w:hAnsi="Times New Roman" w:cs="Times New Roman"/>
          <w:lang w:val="en-US" w:eastAsia="zh-CN"/>
        </w:rPr>
        <w:t>对认定有效期内的“四上”企业首次落地成都高新区，按本政策规定的首次认定奖励标准给予企业资金支持。</w:t>
      </w:r>
    </w:p>
    <w:p>
      <w:pPr>
        <w:ind w:firstLine="640" w:firstLineChars="200"/>
      </w:pPr>
      <w:r>
        <w:rPr>
          <w:rFonts w:hint="default" w:ascii="Times New Roman" w:hAnsi="Times New Roman" w:cs="Times New Roman"/>
          <w:lang w:val="en-US" w:eastAsia="zh-CN"/>
        </w:rPr>
        <w:t>本政策自2023年X月X日开始实施，有效期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年。执行期间如遇国家、省、市有关政策调整的，根据新政策做相应调整。</w:t>
      </w:r>
      <w:r>
        <w:rPr>
          <w:rFonts w:hint="eastAsia" w:ascii="Times New Roman" w:hAnsi="Times New Roman" w:cs="Times New Roman"/>
          <w:lang w:val="en-US" w:eastAsia="zh-CN"/>
        </w:rPr>
        <w:t>符合本政策规定的同一项目、同一事项同时符合高新区其他扶持政策规定的，按照从高不重复的原则予以支持，国家、省、市另有规定的除外。</w:t>
      </w:r>
      <w:r>
        <w:rPr>
          <w:rFonts w:hint="default" w:ascii="Times New Roman" w:hAnsi="Times New Roman" w:cs="Times New Roman"/>
          <w:lang w:val="en-US" w:eastAsia="zh-CN"/>
        </w:rPr>
        <w:t>本政策由成都高新区管委会负责解释，具体实施细则由成都高新区发展改革局商相关部门制定。</w:t>
      </w:r>
    </w:p>
    <w:sectPr>
      <w:pgSz w:w="11906" w:h="16838"/>
      <w:pgMar w:top="1531" w:right="1928" w:bottom="1531" w:left="192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200F"/>
    <w:rsid w:val="064D200F"/>
    <w:rsid w:val="0D0C775E"/>
    <w:rsid w:val="0E2203D3"/>
    <w:rsid w:val="109617D1"/>
    <w:rsid w:val="1349141A"/>
    <w:rsid w:val="16571448"/>
    <w:rsid w:val="18517423"/>
    <w:rsid w:val="186F5C5F"/>
    <w:rsid w:val="19F23344"/>
    <w:rsid w:val="1C581A86"/>
    <w:rsid w:val="1D3D5BF7"/>
    <w:rsid w:val="1F0E00D3"/>
    <w:rsid w:val="20C242E2"/>
    <w:rsid w:val="264B2FCC"/>
    <w:rsid w:val="27F427EF"/>
    <w:rsid w:val="2D69461F"/>
    <w:rsid w:val="2E40666F"/>
    <w:rsid w:val="307436C8"/>
    <w:rsid w:val="32AB479A"/>
    <w:rsid w:val="38237268"/>
    <w:rsid w:val="38EF77E6"/>
    <w:rsid w:val="3B483070"/>
    <w:rsid w:val="3B7B7888"/>
    <w:rsid w:val="3FF57D34"/>
    <w:rsid w:val="408E6767"/>
    <w:rsid w:val="42D9613D"/>
    <w:rsid w:val="43530F99"/>
    <w:rsid w:val="43A748D5"/>
    <w:rsid w:val="45C97056"/>
    <w:rsid w:val="46A3795D"/>
    <w:rsid w:val="4D300B46"/>
    <w:rsid w:val="50D42D06"/>
    <w:rsid w:val="541E3671"/>
    <w:rsid w:val="54FD797D"/>
    <w:rsid w:val="59005F0C"/>
    <w:rsid w:val="5A214313"/>
    <w:rsid w:val="6409566C"/>
    <w:rsid w:val="671C5C8F"/>
    <w:rsid w:val="763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2023-10-08T01:43:00Z</dcterms:created>
  <dc:creator>熊瑰林（Dane Xiong）</dc:creator>
  <cp:lastModifiedBy>熊瑰林（Dane Xiong）</cp:lastModifiedBy>
  <cp:lastPrinted>2023-10-09T02:11:00Z</cp:lastPrinted>
  <dcterms:modified xsi:type="dcterms:W3CDTF">2023-10-11T05:55:58Z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9B8C40D085024DE391FE756EEC311737</vt:lpwstr>
  </property>
</Properties>
</file>