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2023年“成都市产业建圈强链人才计划”</w:t>
      </w:r>
    </w:p>
    <w:p>
      <w:pPr>
        <w:widowControl/>
        <w:spacing w:line="600" w:lineRule="exact"/>
        <w:jc w:val="center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eastAsia="zh-CN"/>
        </w:rPr>
        <w:t>轨道交通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产业链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eastAsia="zh-CN"/>
        </w:rPr>
        <w:t>工业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企业链主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val="en-US" w:eastAsia="zh-CN"/>
        </w:rPr>
        <w:t>拟推荐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名单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exact"/>
        <w:ind w:firstLine="420"/>
        <w:jc w:val="center"/>
        <w:rPr>
          <w:rFonts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5040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成都中车电机有限公司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  <w:lang w:eastAsia="zh-CN"/>
              </w:rPr>
              <w:t>成都中车长客轨道车辆有限公司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中车成都机车车辆有限公司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成都运达科技股份有限公司</w:t>
            </w:r>
          </w:p>
        </w:tc>
      </w:tr>
    </w:tbl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3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年“成都市产业建圈强链人才计划”</w:t>
      </w:r>
    </w:p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eastAsia="zh-CN"/>
        </w:rPr>
        <w:t>轨道交通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产业链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eastAsia="zh-CN"/>
        </w:rPr>
        <w:t>服务业企业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链主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val="en-US" w:eastAsia="zh-CN"/>
        </w:rPr>
        <w:t>拟推荐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名单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exact"/>
        <w:ind w:firstLine="420"/>
        <w:jc w:val="center"/>
        <w:rPr>
          <w:rFonts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方正仿宋_GBK"/>
          <w:color w:val="333333"/>
          <w:sz w:val="32"/>
          <w:szCs w:val="32"/>
          <w:shd w:val="clear" w:color="auto" w:fill="FFFFFF"/>
        </w:rPr>
        <w:t>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5040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中铁科学研究院有限公司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中铁产业园（成都）投资发展有限公司</w:t>
            </w:r>
          </w:p>
        </w:tc>
      </w:tr>
    </w:tbl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3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年“成都市产业建圈强链人才计划”</w:t>
      </w:r>
    </w:p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eastAsia="zh-CN"/>
        </w:rPr>
        <w:t>轨道交通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产业链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eastAsia="zh-CN"/>
        </w:rPr>
        <w:t>建筑业企业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链主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  <w:lang w:val="en-US" w:eastAsia="zh-CN"/>
        </w:rPr>
        <w:t>拟推荐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  <w:t>名单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黑体_GBK" w:hAnsi="方正黑体_GBK" w:eastAsia="方正黑体_GBK" w:cs="方正黑体_GBK"/>
          <w:bCs/>
          <w:kern w:val="0"/>
          <w:sz w:val="32"/>
          <w:szCs w:val="32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8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5040" w:type="dxa"/>
          </w:tcPr>
          <w:p>
            <w:pPr>
              <w:pStyle w:val="2"/>
              <w:widowControl/>
              <w:spacing w:before="0" w:beforeAutospacing="0" w:after="0" w:afterAutospacing="0" w:line="580" w:lineRule="exact"/>
              <w:jc w:val="center"/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hd w:val="clear" w:color="auto" w:fill="FFFFFF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/>
              </w:rPr>
              <w:t>中铁二院工程集团有限责任公司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zM0MDdhMWFiZGE1OTdmMTYyNjA3MjFlY2E0NTQifQ=="/>
  </w:docVars>
  <w:rsids>
    <w:rsidRoot w:val="006C2BD9"/>
    <w:rsid w:val="006C2BD9"/>
    <w:rsid w:val="008A6DEB"/>
    <w:rsid w:val="00F543EA"/>
    <w:rsid w:val="2C404F40"/>
    <w:rsid w:val="302519DD"/>
    <w:rsid w:val="43534461"/>
    <w:rsid w:val="F9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238</Characters>
  <Lines>2</Lines>
  <Paragraphs>1</Paragraphs>
  <TotalTime>1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2023-07-10T16:03:00Z</dcterms:created>
  <dc:creator>KK</dc:creator>
  <cp:lastModifiedBy>聂义航</cp:lastModifiedBy>
  <dcterms:modified xsi:type="dcterms:W3CDTF">2023-07-13T01:42:14Z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26BDBBAB97FF4BBF8DDB714EFA86A663_13</vt:lpwstr>
  </property>
</Properties>
</file>