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7E" w:rsidRPr="00B4487E" w:rsidRDefault="00B4487E" w:rsidP="00B4487E">
      <w:pPr>
        <w:widowControl/>
        <w:suppressAutoHyphens/>
        <w:spacing w:line="520" w:lineRule="exact"/>
        <w:textAlignment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B4487E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20"/>
          <w:szCs w:val="20"/>
          <w:lang/>
        </w:rPr>
      </w:pPr>
      <w:r w:rsidRPr="00B4487E"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2023年度绵阳市高新技术企业认定奖励专项资金拟奖励企业名单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4893"/>
        <w:gridCol w:w="1731"/>
        <w:gridCol w:w="1317"/>
        <w:gridCol w:w="950"/>
        <w:gridCol w:w="1216"/>
      </w:tblGrid>
      <w:tr w:rsidR="00B4487E" w:rsidRPr="00B4487E" w:rsidTr="008842D6">
        <w:trPr>
          <w:trHeight w:val="397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证书编号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奖励类型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w w:val="90"/>
                <w:kern w:val="0"/>
                <w:sz w:val="20"/>
                <w:szCs w:val="20"/>
                <w:lang/>
              </w:rPr>
              <w:t>奖励金额（万元）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区域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四川跃纳科技有限公司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GR202251000143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市鸿永盛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模塑有限公司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GR202251001669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绵阳安合光电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GR202251004347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市阳晨汽车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零部件有限公司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GR202251004285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市博展精密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电子科技有限公司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GR202251000830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四川宇洲电子科技有限公司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GR202251000526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绵阳市安州区长城机械制造有限公司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GR202251002363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绵阳市攀丰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智能制造有限公司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GR202251004467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四川蜂汇自然科技有限公司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GR202251004537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四川锐博尔科技有限公司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GR202251003297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绵阳众力精工机械制造有限公司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GR202251000669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四川泰克科技有限公司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GR202251005208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四川云农灌溉设备有限公司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GR202251004874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绵阳汇久机器人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GR202251004800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四川鑫元瑞科技有限公司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GR202251006800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科学城久信科技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GR202251006327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鑫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众模具有限公司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GR202251006758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绵阳丰瑞德技术有限公司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GR202251005274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四川银河科城环保有限责任公司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GR202251006805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四川久远特种高分子材料技术有限公司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GR202251006563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安州区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康养健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生物科技有限公司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GR202251000827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市辉宇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GR202251006920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北川禹珍实业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GR202251000975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绵阳力森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GR202251000873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绵阳军威模型有限公司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GR202251000840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四川省羌山生物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GR202251004639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虹瑞科技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GR202251006403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军豪科技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开发有限公司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GR202251005914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北川中联水泥有限公司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GR202251006465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北川羌族自治县和谐旅游开发有限公司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GR202251005382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四川云帆信息技术有限公司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GR202251000284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四川德福检测技术有限公司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GR202251002538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四川国安捷检测技术有限公司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GR202251002575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四川掌心智慧科技有限公司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GR202251002852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四川欣越洋科技有限公司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GR202251003153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新越达衡科技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GR202251003976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四川宽窄实业有限责任公司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GR202251003323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四川绿洞生物科技有限公司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GR202251002778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四川嘉瑞丰科技有限公司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GR202251000701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四川百善缘实业有限公司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GR202251000930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四川烯时代新材料有限公司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GR202251001826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四川信拓检测技术有限公司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GR202251000112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瑞成节能科技有限公司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GR202251003018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睿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控电子有限公司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GR202251003117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四川德森特科技有限公司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GR202251002849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83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四川俊文生态农业科技有限公司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GR202251002666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序</w:t>
            </w: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号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企业名称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证书编号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奖励类型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w w:val="90"/>
                <w:kern w:val="0"/>
                <w:sz w:val="20"/>
                <w:szCs w:val="20"/>
                <w:lang/>
              </w:rPr>
              <w:t>奖励金额</w:t>
            </w:r>
            <w:r w:rsidRPr="00B4487E">
              <w:rPr>
                <w:rFonts w:ascii="黑体" w:eastAsia="黑体" w:hAnsi="黑体" w:cs="黑体" w:hint="eastAsia"/>
                <w:color w:val="000000"/>
                <w:w w:val="90"/>
                <w:kern w:val="0"/>
                <w:sz w:val="20"/>
                <w:szCs w:val="20"/>
                <w:lang/>
              </w:rPr>
              <w:lastRenderedPageBreak/>
              <w:t>（万元）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区域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四川信立包装有限公司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GR202251000913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绵阳巧工智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能科技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GR202251002645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旭立辰科技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GR202251003504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绵阳市迈高电气有限公司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GR202251003793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四川宸创宏达科技有限公司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GR202251003994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四川大绵和净水科技有限公司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GR202251002965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四川昊宇龙星科技有限公司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GR202251001736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四川鹏尧智运科技有限公司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GR202251000164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四川智远乐享软件有限公司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GR202251000248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市金久电气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GR202251000192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四川核保锐翔科技有限责任公司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GR202251000089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绵阳市九福门窗有限责任公司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GR202251001925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绵阳华盾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特装科技有限公司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GR202251001687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绵阳历泰机械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制造有限公司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GR202251002761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四川国沃生物科技有限公司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GR202251001086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四川纵横交安科技有限公司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GR202251005007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绵阳五度机械设备有限公司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GR202251006505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四川鹏桦光学精密机械有限公司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GR202251005441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四川省川控智能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GR202251006354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四川森杨科技有限责任公司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GR202251005350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四川梦腾科技有限公司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GR202251005185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四川科伟特信息科技有限公司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GR202251005309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欢视科技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GR202251005240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绵阳富临精工股份有限公司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GR202251006408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四川汉博德信息技术有限公司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GR202251006296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绵阳瑞联电子机械技术有限公司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GR202251005102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四川永贵科技有限公司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GR202251005990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sz w:val="20"/>
                <w:lang/>
              </w:rPr>
              <w:t>四川陆</w:t>
            </w: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垚</w:t>
            </w:r>
            <w:r w:rsidRPr="00B4487E">
              <w:rPr>
                <w:rFonts w:ascii="仿宋_GB2312" w:eastAsia="仿宋_GB2312" w:hAnsi="仿宋_GB2312" w:cs="仿宋_GB2312" w:hint="eastAsia"/>
                <w:color w:val="000000"/>
                <w:sz w:val="20"/>
                <w:lang/>
              </w:rPr>
              <w:t>控制技术有限公司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GR202251004895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四川警安安防科技有限公司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GR202251004798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绵阳沃升节能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GR202251006100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四川通恒中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科信息技术有限公司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GR202251005329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四川知行致远科技有限公司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GR202251004893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绵阳奥力达科技有限公司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GR202251005136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四川华拓光通信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GR202251006445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城区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绵阳鸿蒙启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荣网络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GR202251004418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绵阳顺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鑫达货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厢改制有限公司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GR202251003834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四川奥生堂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生物科技有限公司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GR202251002457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绵阳市晴美互动网络服务有限公司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GR202251004250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四川弘茂暖通设备有限公司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GR202251003264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四川环联科技有限公司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GR202251000663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绵阳北斗物联网科技有限公司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GR202251002953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四川小江军科技有限公司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GR202251003938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四川睿控智芯科技有限公司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GR202251002816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绵阳黑子科技有限公司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GR202251001103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四川百诺吉科技有限公司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GR202251003468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四川科华智汇工程技术有限公司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GR202251001786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四川迈迪测控技术有限公司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GR202251002299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四川酉机科技有限公司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GR202251002567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绵阳鹏顺新材料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GR202251001690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绵阳奇和科技有限公司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GR202251001462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证书编号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奖励类型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w w:val="90"/>
                <w:kern w:val="0"/>
                <w:sz w:val="20"/>
                <w:szCs w:val="20"/>
                <w:lang/>
              </w:rPr>
              <w:t>奖励金额（万元）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区域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四川中商升创科技有限公司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GR202251002356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新兴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栈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（绵阳）建材有限公司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GR202251001282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绵阳伍零柒机械有限责任公司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GR202251003211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四川依盾机电科技有限公司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GR202251003090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绵阳北斗电子有限公司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GR202251001696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绵阳宏茗新能源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GR202251003343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欢网科技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GR202251003514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市蜀创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农业科技有限公司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GR202251000469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鑫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达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盛科技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GR202251004578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绵阳雄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农业科技有限责任公司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GR202251004006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绵阳优佳特农业科技有限公司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GR202251000852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四川九洲线缆有限责任公司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GR202251001208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四川康佰思科技有限公司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GR202251003855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四川省深度图谱科技有限公司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GR202251000942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四川讯视科技有限公司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GR202251001610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绵阳创晖精工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机械有限公司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GR202251001699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汉联软件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GR202251004269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市西源机械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制造有限公司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GR202251004482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正信机械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GR202251003319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绵阳沃思测控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GR202251000569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四川省安道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速博科技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GR202251002044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四川省泰雅科技有限公司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GR202251003226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四川世纪恒微科技有限责任公司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GR202251000570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四川沃创科技有限公司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GR202251000742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四川五视天下科技有限公司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GR202251003207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四川新航传输科技有限公司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GR202251004333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四川云上派格科技有限公司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GR202251004076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四川长虹智能制造技术有限公司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GR202251002010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0"/>
                <w:szCs w:val="20"/>
                <w:lang/>
              </w:rPr>
              <w:t>西南应用磁学研究所（中国电子科技集团公司第九研究所）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GR202251003106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四川贤通机电科技有限公司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GR202251004078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中国重汽集团绵阳专用汽车有限公司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GR202251003920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四川锐坤电子技术有限公司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GR202251003173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四川绵阳君正机电科技有限公司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GR202251002309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绵阳高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新区道诚电子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GR202251004152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绵阳市兴和模具有限公司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GR202251001283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绵阳宏源塑胶有限公司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GR202251002652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四川金维丹新材料科技有限公司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GR202251004014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漫果网络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GR202251000012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四川聚商易田科技有限公司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GR202251004582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绵阳卡力特科技有限公司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GR202251000035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际华三五三六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实业有限公司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GR202251000011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蓝奥科技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GR202251006057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绵阳市智源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泽泰科技有限公司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GR202251005898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四川贝强能源科技有限公司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GR202251006372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绵阳同成智能装备股份有限公司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GR202251005651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易生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能科技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GR202251005810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四川聚强创新科技有限公司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GR202251005241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四川领航未来科技有限责任公司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GR202251005983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四川安能能源技术有限公司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GR202251006530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四川省泽希环保科技有限公司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GR202251006398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证书编号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奖励类型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w w:val="90"/>
                <w:kern w:val="0"/>
                <w:sz w:val="20"/>
                <w:szCs w:val="20"/>
                <w:lang/>
              </w:rPr>
              <w:t>奖励金额（万元）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区域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四川大桐盛世科技有限公司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GR202251006534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四川易家科技有限公司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GR202251005323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美兆电子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GR202251004900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绵阳深度数控科技有限公司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GR202251005058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绵阳光耀新材料有限责任公司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GR202251005125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绵阳国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强特种门业有限公司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GR202251005452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绵阳华威芯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气动设计有限公司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GR202251005117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绵阳正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能新能源技术有限公司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GR202251005505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四川经纬达科技集团有限公司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GR202251004689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绵阳九源茂科技有限公司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GR202251006062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四川绵阳德鑫机械有限公司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GR202251005120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四川盛鑫塑业有限公司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GR202251006075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绵阳高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新区明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GR202251006152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四川零点自动化系统有限公司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GR202251006283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四川六齐元科技有限公司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GR202251006295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四川优可得医疗器械有限公司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GR202251005959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四川蜡雨互动科技有限公司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GR202251006788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四川康斯威科技有限公司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GR202251006454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四川江油奇异新材料开发有限公司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GR202251002981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江油市宏维矿业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GR202251001156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鸿飞大数据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GR202251004294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江油立航金属材料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GR202251002586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四川陆亨能源科技有限公司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GR202251000856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江油东方玻璃有限责任公司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GR202251006932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四川省江油润生石墨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毡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GR202251000958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江油市重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鑫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特种金属材料有限公司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GR202251000731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四川川矿索道工程有限责任公司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GR202251001517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四川惠百民石化机械制造有限公司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GR202251003227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四川天利科技有限责任公司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GR202251000337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四川新为橡塑有限公司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GR202251004512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江油三丰汽轮机材料有限公司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GR202251002432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四川建元天地环保科技有限公司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GR202251003867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崛釜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建筑工程有限公司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GR202251004388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四川嘉灿城市家具科技有限公司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GR202251003111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江油市光巨新材料科技有限公司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GR202251002614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四川兴盛源药业有限公司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GR202251003689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四川六合特种金属材料股份有限公司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GR202251000811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四川省江油市耀华实业有限公司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GR202251001367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四川天丰节能板材有限公司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GR202251006186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佳运油气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技术服务有限公司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GR202251006695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江油市蜀玉实业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GR202251005739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四川世来光电科技有限公司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GR202251006008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四川超声印制板有限公司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GR202251005843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四川泰铸耐磨材料有限公司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GR202251005886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绵阳中恒电气有限公司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GR202251004852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江油市黄河造型材料有限公司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GR202251005475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四川省卓辰精密机械制造有限公司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GR202251005695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四川雷神科技有限公司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GR202251004812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四川聚能核技术工程有限公司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GR202251005514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四川清香园调味品股份有限公司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GR202251006087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证书编号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奖励类型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w w:val="90"/>
                <w:kern w:val="0"/>
                <w:sz w:val="20"/>
                <w:szCs w:val="20"/>
                <w:lang/>
              </w:rPr>
              <w:t>奖励金额（万元）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区域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江油星联电子科技有限公司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GR202251006148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四川瑞可达连接系统有限公司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GR202251002781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宏涂达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GR202251003300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四川宇飞连接电子有限公司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GR202251000004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绵阳禾本生物工程有限公司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GR202251001524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鑫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科源环保科技有限公司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GR202251002979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绵阳优加溯源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GR202251002495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四川虹科创新科技有限公司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GR202251003381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四川万高达味食品有限公司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GR202251004487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绵阳富邦电控设备有限公司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GR202251000147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绵阳绿环新能源环保科技有限公司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GR202251001428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绵阳市永庆机械有限公司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GR202251003705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四川蜀旺新能源股份有限公司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GR202251001625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四川长虹教育科技有限公司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GR202251002562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四川致一智能装备有限公司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GR202251002409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绵阳市正阳科技有限公司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GR202251001917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四川聚亘科技有限公司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GR202251002334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绵阳同心圆科技有限公司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GR202251004021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四川卡恩特新材料科技有限公司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GR202251002493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四川存信教育科技有限公司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GR202251003563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四川雪宝乳业集团有限公司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GR202251005237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四川云烽电工材料科技有限公司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GR202251006552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绵阳市川正建设工程试验检测有限公司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GR202251004720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绵阳精恒光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通讯有限公司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GR202251004898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四川旭虹光电科技有限公司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GR202251006829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四川房管家信息科技有限公司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GR202251005229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四川电之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盾安全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GR202251006290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四川长虹空调有限公司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GR202251005824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四川墨轩档案信息技术有限公司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GR202251006968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四川峻豪电子科技有限公司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GR202251006623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四川中伟华庆文化科技有限公司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GR202251002770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信捷迅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GR202251000613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四川义德智慧科技有限公司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GR202251000415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四川信达轨道交通设备有限责任公司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GR202251000193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绵阳海天新测控技术有限公司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GR202251002536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四川黎曼空间科技有限公司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GR202251003880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四川世群科技有限公司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GR202251003012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四川云智慧安科技有限公司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GR202251004491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绵阳智意魔方科技有限公司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GR202251001319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四川昊伶科技有限公司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GR202251004165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四川恒泰环境技术有限责任公司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GR202251004603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四川千路环保科技有限责任公司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GR202251003236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凯越软件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GR202251000213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市锐钛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智能科技有限公司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GR202251003807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四川奇石缘科技股份有限公司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GR202251001913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绵阳扶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优科技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GR202251000538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绵阳科创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园区精机电子有限公司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GR202251000700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绵阳市度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咪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GR202251002517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绵阳信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元达科技有限公司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GR202251004626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四川才子软件信息网络有限公司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GR202251003342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证书编号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奖励类型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w w:val="90"/>
                <w:kern w:val="0"/>
                <w:sz w:val="20"/>
                <w:szCs w:val="20"/>
                <w:lang/>
              </w:rPr>
              <w:t>奖励金额（万元）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区域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sz w:val="20"/>
                <w:lang/>
              </w:rPr>
              <w:t>四川华跃耀</w:t>
            </w: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昇</w:t>
            </w:r>
            <w:r w:rsidRPr="00B4487E">
              <w:rPr>
                <w:rFonts w:ascii="仿宋_GB2312" w:eastAsia="仿宋_GB2312" w:hAnsi="仿宋_GB2312" w:cs="仿宋_GB2312" w:hint="eastAsia"/>
                <w:color w:val="000000"/>
                <w:sz w:val="20"/>
                <w:lang/>
              </w:rPr>
              <w:t>工程咨询有限公司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GR202251001538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四川聚美达节能环保科技有限公司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GR202251001739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四川省中科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曙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GR202251003267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四川晓君电子科技有限公司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GR202251001030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四川新希途新材料有限公司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GR202251001495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四川英迈科技有限公司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GR202251001413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乾龙科技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GR202251004136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四川汇邦环保科技有限公司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GR202251003188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四川杰森机电有限公司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GR202251001004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四川原音文化科技有限公司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GR202251004596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四川实创微纳科技有限公司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GR202251002128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绵阳红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驱科技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GR202251000067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四川优炫软件有限公司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GR202251000979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四川数立视科技有限公司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GR202251002739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四川省长星科技有限公司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GR202251006904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千莺科技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GR202251003423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绵阳格谷农业科技有限公司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GR202251004969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四川九洲视讯科技有限责任公司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GR202251006359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四川久天测控技术有限公司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GR202251006455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四川天健科技有限公司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GR202251005388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四川邦辰信息科技有限公司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GR202251005527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四川洁牧农业科技有限公司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GR202251005502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四川荣镜科技有限公司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GR202251004641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四川力王新能源科技有限公司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GR202251005085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四川瑞七方信息科技有限公司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GR202251005498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四川帝威能源技术有限公司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GR202251006640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四川九洲空管科技有限责任公司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GR202251005176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四川和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心亿科技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GR202251006051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绵阳市湘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蜀电子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GR202251005940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四川正基岩土工程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GR202251004750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绵阳立德电子股份有限公司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GR202251005947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绵阳金泰机械设备制造有限公司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GR202251005948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四川众智图腾科技有限公司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GR202251005449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绵阳沃特尔环保科技有限公司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GR202251004763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绵阳市耐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特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电子实业有限责任公司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GR202251005191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四川久远环保安全咨询有限公司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GR202251006888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科学城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四川久纳新材料有限公司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GR202251001037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科学城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四川省科学城新方舟安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防科技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GR202251003486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科学城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四川久环环境技术有限责任公司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GR202251000307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绵阳市华锐精密机械有限责任公司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GR202251006336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科学城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" name="图片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"/>
                          <pic:cNvPicPr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四川鑫源种业有限公司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GR202251004560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平武县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平武县康昕生态食品集团有限公司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GR202251005611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平武县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绵阳佳利德纺织科技有限公司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GR202251000791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雅化集团三台化工有限公司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GR202251000334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祺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又环保科技有限公司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GR202251004373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市朝育机械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GR202251001972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四川瑞玖鸿农业科技有限公司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GR202251001924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四川三台力达泵业有限公司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GR202251005676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四川省三台县波特兰商品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砼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GR202251006743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</w:tr>
      <w:tr w:rsidR="00B4487E" w:rsidRPr="00B4487E" w:rsidTr="008842D6">
        <w:trPr>
          <w:trHeight w:val="278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四川省合联机械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GR202251006614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证书编号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奖励类型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w w:val="90"/>
                <w:kern w:val="0"/>
                <w:sz w:val="20"/>
                <w:szCs w:val="20"/>
                <w:lang/>
              </w:rPr>
              <w:t>奖励金额（万元）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区域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盐亭优锂新材料科技有限公司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GR202251001646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盐亭县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绵阳双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辉金属科技有限公司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GR202251000144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盐亭县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四川园香园味业有限公司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GR202251006326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盐亭县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四川齐驰电气科技有限公司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GR202251004577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绵阳飞腾精密机械科技有限公司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GR202251000551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四川联合晶体新材料有限公司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GR202251001092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睿谷科技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中介服务有限公司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GR202251003252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四川护博医疗科技有限公司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GR202251000497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中核艾瑞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特工程检测有限公司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GR202251000052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四川同成金睿科技有限公司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GR202251003399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四川海格恒通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专网科技有限公司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GR202251003109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绵阳蓝辉精密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光学科技有限公司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GR202251003680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绵阳市万欣测控技术有限公司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GR202251002661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绵阳芯元素科技有限公司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GR202251000864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四川黑马出行科技有限公司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GR202251002338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绵阳市聚合新材料有限公司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GR202251000179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浚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杰生物科技有限公司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GR202251001387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市沁禾农业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GR202251002500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四川速荣科技有限公司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GR202251002011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绵阳市维博电子有限责任公司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GR202251002944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四川高达科技有限公司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GR202251001922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四川久远环保装备有限公司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GR202251001810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四川优软网络科技有限公司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GR202251003937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绵阳东兴绝缘制品有限责任公司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GR202251000411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四川瑞雅科创汽车安全技术有限公司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GR202251002880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绵阳金信诺环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通电子技术有限公司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GR202251006879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四川九高科技有限公司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GR202251006650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科学城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开元创亿生物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GR202251005954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绵阳品茗科技有限公司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GR202251005179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绵阳紫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东食品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GR202251006240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中国兵器装备集团自动化研究所有限公司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GR202251005876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四川睛创智能科技有限公司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GR202251006560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绵阳德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华磁材有限公司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GR202251005384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市盛宇新材料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GR202251004734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非首次认定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绵阳锐行电子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GR202251005864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四川红杉岭环保科技有限公司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GR202251006431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绵阳光益生物科技有限公司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GR202251006485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光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联迅通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科技集团有限公司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GR202251004708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  <w:proofErr w:type="gramStart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曦乐启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通讯器材有限公司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GR202251005628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四川快步科技有限公司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GR202251004804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sz w:val="20"/>
                <w:lang/>
              </w:rPr>
              <w:t>绵阳市</w:t>
            </w:r>
            <w:proofErr w:type="gramStart"/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燊</w:t>
            </w:r>
            <w:proofErr w:type="gramEnd"/>
            <w:r w:rsidRPr="00B4487E">
              <w:rPr>
                <w:rFonts w:ascii="仿宋_GB2312" w:eastAsia="仿宋_GB2312" w:hAnsi="仿宋_GB2312" w:cs="仿宋_GB2312" w:hint="eastAsia"/>
                <w:color w:val="000000"/>
                <w:sz w:val="20"/>
                <w:lang/>
              </w:rPr>
              <w:t>达机械加工有限公司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GR202251006780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游仙区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四川辉氏生物技术有限公司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GR202251004469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梓潼县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四川梓潼林江苎麻纺织有限责任公司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GR202251003668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梓潼县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四川沃野好土科技有限公司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GR202251005894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首次认定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梓潼县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四川圣迪乐村生态食品股份有限公司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GR202251005335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梓潼县</w:t>
            </w:r>
          </w:p>
        </w:tc>
      </w:tr>
      <w:tr w:rsidR="00B4487E" w:rsidRPr="00B4487E" w:rsidTr="008842D6">
        <w:trPr>
          <w:trHeight w:val="270"/>
        </w:trPr>
        <w:tc>
          <w:tcPr>
            <w:tcW w:w="575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48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绵阳宁瑞电子有限公司</w:t>
            </w:r>
          </w:p>
        </w:tc>
        <w:tc>
          <w:tcPr>
            <w:tcW w:w="1731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GR202251005780</w:t>
            </w:r>
          </w:p>
        </w:tc>
        <w:tc>
          <w:tcPr>
            <w:tcW w:w="1317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重新认定</w:t>
            </w:r>
          </w:p>
        </w:tc>
        <w:tc>
          <w:tcPr>
            <w:tcW w:w="95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B448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梓潼县</w:t>
            </w:r>
          </w:p>
        </w:tc>
      </w:tr>
      <w:tr w:rsidR="00B4487E" w:rsidRPr="00B4487E" w:rsidTr="008842D6">
        <w:trPr>
          <w:trHeight w:val="270"/>
        </w:trPr>
        <w:tc>
          <w:tcPr>
            <w:tcW w:w="5468" w:type="dxa"/>
            <w:gridSpan w:val="2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仿宋_GB2312" w:eastAsia="宋体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5214" w:type="dxa"/>
            <w:gridSpan w:val="4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 w:rsidRPr="00B4487E">
              <w:rPr>
                <w:rFonts w:ascii="仿宋_GB2312" w:eastAsia="宋体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2765</w:t>
            </w:r>
          </w:p>
        </w:tc>
      </w:tr>
    </w:tbl>
    <w:p w:rsidR="00B4487E" w:rsidRP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B4487E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  <w:r w:rsidRPr="00B4487E"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2023年度绵阳市瞪</w:t>
      </w:r>
      <w:proofErr w:type="gramStart"/>
      <w:r w:rsidRPr="00B4487E"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羚</w:t>
      </w:r>
      <w:proofErr w:type="gramEnd"/>
      <w:r w:rsidRPr="00B4487E"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企业备案奖励专项资金拟奖励企业名单</w:t>
      </w:r>
    </w:p>
    <w:tbl>
      <w:tblPr>
        <w:tblStyle w:val="ab"/>
        <w:tblW w:w="0" w:type="auto"/>
        <w:jc w:val="center"/>
        <w:tblInd w:w="0" w:type="dxa"/>
        <w:tblLayout w:type="fixed"/>
        <w:tblLook w:val="0000"/>
      </w:tblPr>
      <w:tblGrid>
        <w:gridCol w:w="816"/>
        <w:gridCol w:w="5110"/>
        <w:gridCol w:w="1784"/>
        <w:gridCol w:w="1476"/>
        <w:gridCol w:w="1494"/>
      </w:tblGrid>
      <w:tr w:rsidR="00B4487E" w:rsidRPr="00B4487E" w:rsidTr="008842D6">
        <w:trPr>
          <w:trHeight w:val="510"/>
          <w:jc w:val="center"/>
        </w:trPr>
        <w:tc>
          <w:tcPr>
            <w:tcW w:w="816" w:type="dxa"/>
            <w:vAlign w:val="center"/>
          </w:tcPr>
          <w:p w:rsidR="00B4487E" w:rsidRPr="00B4487E" w:rsidRDefault="00B4487E" w:rsidP="00B4487E">
            <w:pPr>
              <w:suppressAutoHyphens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5110" w:type="dxa"/>
            <w:vAlign w:val="center"/>
          </w:tcPr>
          <w:p w:rsidR="00B4487E" w:rsidRPr="00B4487E" w:rsidRDefault="00B4487E" w:rsidP="00B4487E">
            <w:pPr>
              <w:suppressAutoHyphens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企业名称</w:t>
            </w:r>
          </w:p>
        </w:tc>
        <w:tc>
          <w:tcPr>
            <w:tcW w:w="1784" w:type="dxa"/>
            <w:vAlign w:val="center"/>
          </w:tcPr>
          <w:p w:rsidR="00B4487E" w:rsidRPr="00B4487E" w:rsidRDefault="00B4487E" w:rsidP="00B4487E">
            <w:pPr>
              <w:suppressAutoHyphens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奖励类别</w:t>
            </w:r>
          </w:p>
        </w:tc>
        <w:tc>
          <w:tcPr>
            <w:tcW w:w="1476" w:type="dxa"/>
            <w:vAlign w:val="center"/>
          </w:tcPr>
          <w:p w:rsidR="00B4487E" w:rsidRPr="00B4487E" w:rsidRDefault="00B4487E" w:rsidP="00B4487E">
            <w:pPr>
              <w:suppressAutoHyphens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lang/>
              </w:rPr>
            </w:pPr>
            <w:r w:rsidRPr="00B4487E">
              <w:rPr>
                <w:rFonts w:ascii="黑体" w:eastAsia="黑体" w:hAnsi="黑体" w:cs="黑体" w:hint="eastAsia"/>
                <w:bCs/>
                <w:color w:val="000000"/>
                <w:lang/>
              </w:rPr>
              <w:t>奖励金额</w:t>
            </w:r>
          </w:p>
          <w:p w:rsidR="00B4487E" w:rsidRPr="00B4487E" w:rsidRDefault="00B4487E" w:rsidP="00B4487E">
            <w:pPr>
              <w:suppressAutoHyphens/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color w:val="000000"/>
                <w:lang/>
              </w:rPr>
              <w:t>（万元）</w:t>
            </w:r>
          </w:p>
        </w:tc>
        <w:tc>
          <w:tcPr>
            <w:tcW w:w="1494" w:type="dxa"/>
            <w:vAlign w:val="center"/>
          </w:tcPr>
          <w:p w:rsidR="00B4487E" w:rsidRPr="00B4487E" w:rsidRDefault="00B4487E" w:rsidP="00B4487E">
            <w:pPr>
              <w:suppressAutoHyphens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区域</w:t>
            </w:r>
          </w:p>
        </w:tc>
      </w:tr>
      <w:tr w:rsidR="00B4487E" w:rsidRPr="00B4487E" w:rsidTr="008842D6">
        <w:trPr>
          <w:trHeight w:val="510"/>
          <w:jc w:val="center"/>
        </w:trPr>
        <w:tc>
          <w:tcPr>
            <w:tcW w:w="8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511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四川虹魔方网络科技有限公司</w:t>
            </w:r>
          </w:p>
        </w:tc>
        <w:tc>
          <w:tcPr>
            <w:tcW w:w="1784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瞪</w:t>
            </w:r>
            <w:proofErr w:type="gramStart"/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羚</w:t>
            </w:r>
            <w:proofErr w:type="gramEnd"/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企业备案</w:t>
            </w:r>
          </w:p>
        </w:tc>
        <w:tc>
          <w:tcPr>
            <w:tcW w:w="147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494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高新区</w:t>
            </w:r>
          </w:p>
        </w:tc>
      </w:tr>
      <w:tr w:rsidR="00B4487E" w:rsidRPr="00B4487E" w:rsidTr="008842D6">
        <w:trPr>
          <w:trHeight w:val="510"/>
          <w:jc w:val="center"/>
        </w:trPr>
        <w:tc>
          <w:tcPr>
            <w:tcW w:w="8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2</w:t>
            </w:r>
          </w:p>
        </w:tc>
        <w:tc>
          <w:tcPr>
            <w:tcW w:w="511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四川智研科技有限公司</w:t>
            </w:r>
          </w:p>
        </w:tc>
        <w:tc>
          <w:tcPr>
            <w:tcW w:w="1784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瞪</w:t>
            </w:r>
            <w:proofErr w:type="gramStart"/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羚</w:t>
            </w:r>
            <w:proofErr w:type="gramEnd"/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企业备案</w:t>
            </w:r>
          </w:p>
        </w:tc>
        <w:tc>
          <w:tcPr>
            <w:tcW w:w="147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494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科技城新区</w:t>
            </w:r>
          </w:p>
        </w:tc>
      </w:tr>
      <w:tr w:rsidR="00B4487E" w:rsidRPr="00B4487E" w:rsidTr="008842D6">
        <w:trPr>
          <w:trHeight w:val="510"/>
          <w:jc w:val="center"/>
        </w:trPr>
        <w:tc>
          <w:tcPr>
            <w:tcW w:w="8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3</w:t>
            </w:r>
          </w:p>
        </w:tc>
        <w:tc>
          <w:tcPr>
            <w:tcW w:w="511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四川欣富瑞科技发展有限公司</w:t>
            </w:r>
          </w:p>
        </w:tc>
        <w:tc>
          <w:tcPr>
            <w:tcW w:w="1784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瞪</w:t>
            </w:r>
            <w:proofErr w:type="gramStart"/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羚</w:t>
            </w:r>
            <w:proofErr w:type="gramEnd"/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企业备案</w:t>
            </w:r>
          </w:p>
        </w:tc>
        <w:tc>
          <w:tcPr>
            <w:tcW w:w="147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494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高新区</w:t>
            </w:r>
          </w:p>
        </w:tc>
      </w:tr>
      <w:tr w:rsidR="00B4487E" w:rsidRPr="00B4487E" w:rsidTr="008842D6">
        <w:trPr>
          <w:trHeight w:val="510"/>
          <w:jc w:val="center"/>
        </w:trPr>
        <w:tc>
          <w:tcPr>
            <w:tcW w:w="81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4</w:t>
            </w:r>
          </w:p>
        </w:tc>
        <w:tc>
          <w:tcPr>
            <w:tcW w:w="511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四川</w:t>
            </w: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宇飞连接电子有限公司</w:t>
            </w:r>
          </w:p>
        </w:tc>
        <w:tc>
          <w:tcPr>
            <w:tcW w:w="1784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瞪</w:t>
            </w:r>
            <w:proofErr w:type="gramStart"/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羚</w:t>
            </w:r>
            <w:proofErr w:type="gramEnd"/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企业备案</w:t>
            </w:r>
          </w:p>
        </w:tc>
        <w:tc>
          <w:tcPr>
            <w:tcW w:w="147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20</w:t>
            </w:r>
          </w:p>
        </w:tc>
        <w:tc>
          <w:tcPr>
            <w:tcW w:w="1494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经开区</w:t>
            </w:r>
          </w:p>
        </w:tc>
      </w:tr>
      <w:tr w:rsidR="00B4487E" w:rsidRPr="00B4487E" w:rsidTr="008842D6">
        <w:trPr>
          <w:trHeight w:val="510"/>
          <w:jc w:val="center"/>
        </w:trPr>
        <w:tc>
          <w:tcPr>
            <w:tcW w:w="5926" w:type="dxa"/>
            <w:gridSpan w:val="2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合计</w:t>
            </w:r>
          </w:p>
        </w:tc>
        <w:tc>
          <w:tcPr>
            <w:tcW w:w="4754" w:type="dxa"/>
            <w:gridSpan w:val="3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80</w:t>
            </w:r>
          </w:p>
        </w:tc>
      </w:tr>
    </w:tbl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suppressAutoHyphens/>
        <w:rPr>
          <w:rFonts w:ascii="Calibri" w:eastAsia="宋体" w:hAnsi="Calibri" w:cs="Times New Roman" w:hint="eastAsia"/>
          <w:sz w:val="32"/>
          <w:szCs w:val="32"/>
        </w:rPr>
      </w:pPr>
    </w:p>
    <w:p w:rsid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r w:rsidRPr="00B4487E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附件3</w:t>
      </w: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  <w:r w:rsidRPr="00B4487E"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2023年度绵阳市创新平台认定奖励专项资金拟奖励名单</w:t>
      </w:r>
    </w:p>
    <w:tbl>
      <w:tblPr>
        <w:tblStyle w:val="ab"/>
        <w:tblW w:w="0" w:type="auto"/>
        <w:jc w:val="center"/>
        <w:tblInd w:w="0" w:type="dxa"/>
        <w:tblLayout w:type="fixed"/>
        <w:tblLook w:val="0000"/>
      </w:tblPr>
      <w:tblGrid>
        <w:gridCol w:w="549"/>
        <w:gridCol w:w="3458"/>
        <w:gridCol w:w="2993"/>
        <w:gridCol w:w="1512"/>
        <w:gridCol w:w="1156"/>
        <w:gridCol w:w="1010"/>
      </w:tblGrid>
      <w:tr w:rsidR="00B4487E" w:rsidRPr="00B4487E" w:rsidTr="008842D6">
        <w:trPr>
          <w:trHeight w:val="510"/>
          <w:jc w:val="center"/>
        </w:trPr>
        <w:tc>
          <w:tcPr>
            <w:tcW w:w="549" w:type="dxa"/>
            <w:vAlign w:val="center"/>
          </w:tcPr>
          <w:p w:rsidR="00B4487E" w:rsidRPr="00B4487E" w:rsidRDefault="00B4487E" w:rsidP="00B4487E">
            <w:pPr>
              <w:suppressAutoHyphens/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3458" w:type="dxa"/>
            <w:vAlign w:val="center"/>
          </w:tcPr>
          <w:p w:rsidR="00B4487E" w:rsidRPr="00B4487E" w:rsidRDefault="00B4487E" w:rsidP="00B4487E">
            <w:pPr>
              <w:suppressAutoHyphens/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平台名称</w:t>
            </w:r>
          </w:p>
        </w:tc>
        <w:tc>
          <w:tcPr>
            <w:tcW w:w="2993" w:type="dxa"/>
            <w:vAlign w:val="center"/>
          </w:tcPr>
          <w:p w:rsidR="00B4487E" w:rsidRPr="00B4487E" w:rsidRDefault="00B4487E" w:rsidP="00B4487E">
            <w:pPr>
              <w:suppressAutoHyphens/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依托单位</w:t>
            </w:r>
          </w:p>
        </w:tc>
        <w:tc>
          <w:tcPr>
            <w:tcW w:w="1512" w:type="dxa"/>
            <w:vAlign w:val="center"/>
          </w:tcPr>
          <w:p w:rsidR="00B4487E" w:rsidRPr="00B4487E" w:rsidRDefault="00B4487E" w:rsidP="00B4487E">
            <w:pPr>
              <w:suppressAutoHyphens/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奖励类别</w:t>
            </w:r>
          </w:p>
        </w:tc>
        <w:tc>
          <w:tcPr>
            <w:tcW w:w="1156" w:type="dxa"/>
            <w:vAlign w:val="center"/>
          </w:tcPr>
          <w:p w:rsidR="00B4487E" w:rsidRPr="00B4487E" w:rsidRDefault="00B4487E" w:rsidP="00B4487E">
            <w:pPr>
              <w:suppressAutoHyphens/>
              <w:spacing w:line="2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lang/>
              </w:rPr>
            </w:pPr>
            <w:r w:rsidRPr="00B4487E">
              <w:rPr>
                <w:rFonts w:ascii="黑体" w:eastAsia="黑体" w:hAnsi="黑体" w:cs="黑体" w:hint="eastAsia"/>
                <w:bCs/>
                <w:color w:val="000000"/>
                <w:lang/>
              </w:rPr>
              <w:t>奖励金额</w:t>
            </w:r>
          </w:p>
          <w:p w:rsidR="00B4487E" w:rsidRPr="00B4487E" w:rsidRDefault="00B4487E" w:rsidP="00B4487E">
            <w:pPr>
              <w:suppressAutoHyphens/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color w:val="000000"/>
                <w:lang/>
              </w:rPr>
              <w:t>（万元）</w:t>
            </w:r>
          </w:p>
        </w:tc>
        <w:tc>
          <w:tcPr>
            <w:tcW w:w="1010" w:type="dxa"/>
            <w:vAlign w:val="center"/>
          </w:tcPr>
          <w:p w:rsidR="00B4487E" w:rsidRPr="00B4487E" w:rsidRDefault="00B4487E" w:rsidP="00B4487E">
            <w:pPr>
              <w:suppressAutoHyphens/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 w:rsidRPr="00B4487E">
              <w:rPr>
                <w:rFonts w:ascii="黑体" w:eastAsia="黑体" w:hAnsi="黑体" w:cs="黑体" w:hint="eastAsia"/>
                <w:bCs/>
                <w:szCs w:val="21"/>
              </w:rPr>
              <w:t>区域</w:t>
            </w:r>
          </w:p>
        </w:tc>
      </w:tr>
      <w:tr w:rsidR="00B4487E" w:rsidRPr="00B4487E" w:rsidTr="008842D6">
        <w:trPr>
          <w:trHeight w:val="510"/>
          <w:jc w:val="center"/>
        </w:trPr>
        <w:tc>
          <w:tcPr>
            <w:tcW w:w="549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eastAsia="仿宋_GB2312" w:hAnsi="宋体" w:cs="仿宋_GB2312" w:hint="eastAsia"/>
                <w:color w:val="000000"/>
                <w:lang/>
              </w:rPr>
              <w:t>1</w:t>
            </w:r>
          </w:p>
        </w:tc>
        <w:tc>
          <w:tcPr>
            <w:tcW w:w="3458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四川省铬铁矿资源高值化利用</w:t>
            </w:r>
          </w:p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工程技术研究中心</w:t>
            </w:r>
          </w:p>
        </w:tc>
        <w:tc>
          <w:tcPr>
            <w:tcW w:w="2993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四川省银河化学股份有限公司</w:t>
            </w:r>
          </w:p>
        </w:tc>
        <w:tc>
          <w:tcPr>
            <w:tcW w:w="1512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创新平台认定</w:t>
            </w:r>
          </w:p>
        </w:tc>
        <w:tc>
          <w:tcPr>
            <w:tcW w:w="1156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50</w:t>
            </w:r>
          </w:p>
        </w:tc>
        <w:tc>
          <w:tcPr>
            <w:tcW w:w="1010" w:type="dxa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安州区</w:t>
            </w:r>
          </w:p>
        </w:tc>
      </w:tr>
      <w:tr w:rsidR="00B4487E" w:rsidRPr="00B4487E" w:rsidTr="008842D6">
        <w:trPr>
          <w:trHeight w:val="510"/>
          <w:jc w:val="center"/>
        </w:trPr>
        <w:tc>
          <w:tcPr>
            <w:tcW w:w="4007" w:type="dxa"/>
            <w:gridSpan w:val="2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合计</w:t>
            </w:r>
          </w:p>
        </w:tc>
        <w:tc>
          <w:tcPr>
            <w:tcW w:w="6671" w:type="dxa"/>
            <w:gridSpan w:val="4"/>
            <w:vAlign w:val="center"/>
          </w:tcPr>
          <w:p w:rsidR="00B4487E" w:rsidRPr="00B4487E" w:rsidRDefault="00B4487E" w:rsidP="00B4487E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lang/>
              </w:rPr>
            </w:pPr>
            <w:r w:rsidRPr="00B4487E">
              <w:rPr>
                <w:rFonts w:ascii="仿宋_GB2312" w:hAnsi="宋体" w:cs="仿宋_GB2312" w:hint="eastAsia"/>
                <w:color w:val="000000"/>
                <w:lang/>
              </w:rPr>
              <w:t>50</w:t>
            </w:r>
          </w:p>
        </w:tc>
      </w:tr>
    </w:tbl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widowControl/>
        <w:suppressAutoHyphens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p w:rsidR="00B4487E" w:rsidRPr="00B4487E" w:rsidRDefault="00B4487E" w:rsidP="00B4487E">
      <w:pPr>
        <w:suppressAutoHyphens/>
        <w:rPr>
          <w:rFonts w:ascii="仿宋_GB2312" w:eastAsia="仿宋_GB2312" w:hAnsi="仿宋_GB2312" w:cs="仿宋_GB2312"/>
          <w:sz w:val="32"/>
          <w:szCs w:val="32"/>
        </w:rPr>
      </w:pPr>
    </w:p>
    <w:p w:rsidR="00F947B2" w:rsidRDefault="00F947B2"/>
    <w:sectPr w:rsidR="00F947B2">
      <w:pgSz w:w="11906" w:h="16838"/>
      <w:pgMar w:top="720" w:right="720" w:bottom="720" w:left="720" w:header="720" w:footer="720" w:gutter="0"/>
      <w:cols w:space="72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87E"/>
    <w:rsid w:val="00B4487E"/>
    <w:rsid w:val="00F9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authorities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487E"/>
    <w:pPr>
      <w:suppressAutoHyphens/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487E"/>
    <w:rPr>
      <w:rFonts w:ascii="宋体" w:eastAsia="宋体" w:hAnsi="宋体" w:cs="Times New Roman"/>
      <w:b/>
      <w:bCs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B4487E"/>
  </w:style>
  <w:style w:type="character" w:customStyle="1" w:styleId="font21">
    <w:name w:val="font21"/>
    <w:basedOn w:val="a0"/>
    <w:qFormat/>
    <w:rsid w:val="00B4487E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styleId="a3">
    <w:name w:val="Hyperlink"/>
    <w:basedOn w:val="a0"/>
    <w:rsid w:val="00B4487E"/>
    <w:rPr>
      <w:color w:val="0000FF"/>
      <w:u w:val="single"/>
    </w:rPr>
  </w:style>
  <w:style w:type="character" w:customStyle="1" w:styleId="11">
    <w:name w:val="默认段落字体1"/>
    <w:rsid w:val="00B4487E"/>
  </w:style>
  <w:style w:type="paragraph" w:customStyle="1" w:styleId="Heading">
    <w:name w:val="Heading"/>
    <w:basedOn w:val="a"/>
    <w:next w:val="a4"/>
    <w:rsid w:val="00B4487E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B4487E"/>
    <w:pPr>
      <w:suppressLineNumbers/>
      <w:suppressAutoHyphens/>
    </w:pPr>
    <w:rPr>
      <w:rFonts w:ascii="Calibri" w:eastAsia="宋体" w:hAnsi="Calibri" w:cs="Times New Roman"/>
      <w:sz w:val="32"/>
      <w:szCs w:val="32"/>
    </w:rPr>
  </w:style>
  <w:style w:type="paragraph" w:styleId="a5">
    <w:name w:val="Normal (Web)"/>
    <w:basedOn w:val="a"/>
    <w:rsid w:val="00B4487E"/>
    <w:pPr>
      <w:suppressAutoHyphens/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32"/>
    </w:rPr>
  </w:style>
  <w:style w:type="paragraph" w:styleId="a6">
    <w:name w:val="List"/>
    <w:basedOn w:val="a4"/>
    <w:rsid w:val="00B4487E"/>
  </w:style>
  <w:style w:type="paragraph" w:styleId="a7">
    <w:name w:val="footer"/>
    <w:basedOn w:val="a"/>
    <w:link w:val="Char"/>
    <w:rsid w:val="00B4487E"/>
    <w:pPr>
      <w:tabs>
        <w:tab w:val="center" w:pos="4153"/>
        <w:tab w:val="right" w:pos="8306"/>
      </w:tabs>
      <w:suppressAutoHyphens/>
      <w:snapToGrid w:val="0"/>
      <w:jc w:val="left"/>
    </w:pPr>
    <w:rPr>
      <w:rFonts w:ascii="Calibri" w:eastAsia="宋体" w:hAnsi="Calibri" w:cs="Times New Roman"/>
      <w:sz w:val="18"/>
      <w:szCs w:val="32"/>
    </w:rPr>
  </w:style>
  <w:style w:type="character" w:customStyle="1" w:styleId="Char">
    <w:name w:val="页脚 Char"/>
    <w:basedOn w:val="a0"/>
    <w:link w:val="a7"/>
    <w:rsid w:val="00B4487E"/>
    <w:rPr>
      <w:rFonts w:ascii="Calibri" w:eastAsia="宋体" w:hAnsi="Calibri" w:cs="Times New Roman"/>
      <w:sz w:val="18"/>
      <w:szCs w:val="32"/>
    </w:rPr>
  </w:style>
  <w:style w:type="paragraph" w:styleId="a4">
    <w:name w:val="Body Text"/>
    <w:basedOn w:val="a"/>
    <w:link w:val="Char0"/>
    <w:rsid w:val="00B4487E"/>
    <w:pPr>
      <w:suppressAutoHyphens/>
      <w:spacing w:after="140" w:line="276" w:lineRule="auto"/>
    </w:pPr>
    <w:rPr>
      <w:rFonts w:ascii="Calibri" w:eastAsia="宋体" w:hAnsi="Calibri" w:cs="Times New Roman"/>
      <w:sz w:val="32"/>
      <w:szCs w:val="32"/>
    </w:rPr>
  </w:style>
  <w:style w:type="character" w:customStyle="1" w:styleId="Char0">
    <w:name w:val="正文文本 Char"/>
    <w:basedOn w:val="a0"/>
    <w:link w:val="a4"/>
    <w:rsid w:val="00B4487E"/>
    <w:rPr>
      <w:rFonts w:ascii="Calibri" w:eastAsia="宋体" w:hAnsi="Calibri" w:cs="Times New Roman"/>
      <w:sz w:val="32"/>
      <w:szCs w:val="32"/>
    </w:rPr>
  </w:style>
  <w:style w:type="paragraph" w:styleId="a8">
    <w:name w:val="header"/>
    <w:basedOn w:val="a"/>
    <w:link w:val="Char1"/>
    <w:rsid w:val="00B448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uppressAutoHyphens/>
      <w:snapToGrid w:val="0"/>
    </w:pPr>
    <w:rPr>
      <w:rFonts w:ascii="Calibri" w:eastAsia="宋体" w:hAnsi="Calibri" w:cs="Times New Roman"/>
      <w:sz w:val="18"/>
      <w:szCs w:val="32"/>
    </w:rPr>
  </w:style>
  <w:style w:type="character" w:customStyle="1" w:styleId="Char1">
    <w:name w:val="页眉 Char"/>
    <w:basedOn w:val="a0"/>
    <w:link w:val="a8"/>
    <w:rsid w:val="00B4487E"/>
    <w:rPr>
      <w:rFonts w:ascii="Calibri" w:eastAsia="宋体" w:hAnsi="Calibri" w:cs="Times New Roman"/>
      <w:sz w:val="18"/>
      <w:szCs w:val="32"/>
    </w:rPr>
  </w:style>
  <w:style w:type="paragraph" w:styleId="a9">
    <w:name w:val="caption"/>
    <w:basedOn w:val="a"/>
    <w:qFormat/>
    <w:rsid w:val="00B4487E"/>
    <w:pPr>
      <w:suppressLineNumbers/>
      <w:suppressAutoHyphens/>
      <w:spacing w:before="120" w:after="120"/>
    </w:pPr>
    <w:rPr>
      <w:rFonts w:ascii="Calibri" w:eastAsia="宋体" w:hAnsi="Calibri" w:cs="Times New Roman"/>
      <w:i/>
      <w:iCs/>
      <w:sz w:val="24"/>
      <w:szCs w:val="24"/>
    </w:rPr>
  </w:style>
  <w:style w:type="paragraph" w:styleId="aa">
    <w:name w:val="table of authorities"/>
    <w:basedOn w:val="a"/>
    <w:next w:val="a"/>
    <w:uiPriority w:val="99"/>
    <w:unhideWhenUsed/>
    <w:qFormat/>
    <w:rsid w:val="00B4487E"/>
    <w:pPr>
      <w:suppressAutoHyphens/>
      <w:ind w:leftChars="200" w:left="420"/>
    </w:pPr>
    <w:rPr>
      <w:rFonts w:ascii="Calibri" w:eastAsia="宋体" w:hAnsi="Calibri" w:cs="Times New Roman"/>
      <w:sz w:val="32"/>
      <w:szCs w:val="32"/>
    </w:rPr>
  </w:style>
  <w:style w:type="table" w:styleId="ab">
    <w:name w:val="Table Grid"/>
    <w:basedOn w:val="a1"/>
    <w:qFormat/>
    <w:rsid w:val="00B448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2"/>
    <w:rsid w:val="00B4487E"/>
    <w:pPr>
      <w:suppressAutoHyphens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c"/>
    <w:rsid w:val="00B448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7352</Words>
  <Characters>8676</Characters>
  <Application>Microsoft Office Word</Application>
  <DocSecurity>0</DocSecurity>
  <Lines>542</Lines>
  <Paragraphs>445</Paragraphs>
  <ScaleCrop>false</ScaleCrop>
  <Company>绵阳师范学院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田苓</dc:creator>
  <cp:lastModifiedBy>田苓</cp:lastModifiedBy>
  <cp:revision>1</cp:revision>
  <dcterms:created xsi:type="dcterms:W3CDTF">2023-06-19T06:26:00Z</dcterms:created>
  <dcterms:modified xsi:type="dcterms:W3CDTF">2023-06-19T06:27:00Z</dcterms:modified>
</cp:coreProperties>
</file>