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44" w:rsidRDefault="00C74EF5">
      <w:pPr>
        <w:spacing w:line="57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</w:p>
    <w:p w:rsidR="00D32D44" w:rsidRDefault="00C74EF5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560" w:lineRule="exact"/>
        <w:jc w:val="center"/>
        <w:rPr>
          <w:rFonts w:ascii="Times New Roman" w:eastAsia="方正黑体_GBK" w:hAnsi="Times New Roman" w:hint="default"/>
          <w:spacing w:val="-6"/>
          <w:sz w:val="32"/>
          <w:szCs w:val="32"/>
        </w:rPr>
      </w:pPr>
      <w:r>
        <w:rPr>
          <w:rFonts w:ascii="Times New Roman" w:eastAsia="方正黑体_GBK" w:hAnsi="Times New Roman"/>
          <w:spacing w:val="-6"/>
          <w:sz w:val="32"/>
          <w:szCs w:val="32"/>
        </w:rPr>
        <w:t>2022</w:t>
      </w:r>
      <w:r>
        <w:rPr>
          <w:rFonts w:ascii="Times New Roman" w:eastAsia="方正黑体_GBK" w:hAnsi="Times New Roman"/>
          <w:spacing w:val="-6"/>
          <w:sz w:val="32"/>
          <w:szCs w:val="32"/>
        </w:rPr>
        <w:t>年第二批金牛区知识产权专项资金资助（</w:t>
      </w:r>
      <w:r>
        <w:rPr>
          <w:rFonts w:ascii="Times New Roman" w:eastAsia="方正黑体_GBK" w:hAnsi="Times New Roman"/>
          <w:spacing w:val="-6"/>
          <w:sz w:val="32"/>
          <w:szCs w:val="32"/>
        </w:rPr>
        <w:t>2022</w:t>
      </w:r>
      <w:r>
        <w:rPr>
          <w:rFonts w:ascii="Times New Roman" w:eastAsia="方正黑体_GBK" w:hAnsi="Times New Roman"/>
          <w:spacing w:val="-6"/>
          <w:sz w:val="32"/>
          <w:szCs w:val="32"/>
        </w:rPr>
        <w:t>年金牛区知识产权成果产业化运用资助项目）明细表</w:t>
      </w:r>
    </w:p>
    <w:tbl>
      <w:tblPr>
        <w:tblStyle w:val="a6"/>
        <w:tblW w:w="9043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750"/>
        <w:gridCol w:w="2126"/>
        <w:gridCol w:w="1467"/>
        <w:gridCol w:w="2533"/>
        <w:gridCol w:w="1134"/>
        <w:gridCol w:w="1033"/>
      </w:tblGrid>
      <w:tr w:rsidR="00D32D44">
        <w:trPr>
          <w:trHeight w:val="512"/>
        </w:trPr>
        <w:tc>
          <w:tcPr>
            <w:tcW w:w="750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排名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申报单位名称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技术领域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申报项目名称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资助金额（万元）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奖项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成都康弘药业集团股份有限公司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医药与医学工程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一种胃动力药枸橼酸莫沙必利片专利技术转化项目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一等奖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四川宏华电气有限责任公司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光机电一体化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一种容积泵密封性检测系统及压裂系统专利转化项目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640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成都弓网科技有限责任公司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航空航天及交通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一种高速铁路接触线磨耗检测装置项目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698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中铁工程服务有限公司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一种可变卸料点的垂直皮带机（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ZL. 202022153955.4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）系列专利的实施与产业化项目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655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四川国软科技集团有限公司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电子与信息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一种基于雷视融合技术的铁路线路落石检测及预警系统项目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723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四川省丝绸科学研究院有限责任公司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光机电一体化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一种高效节能减压煮茧工艺应用示范项目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653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成都凯远流体控制工程有限公司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一种多功能蒸汽切换阀产业化运用项目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二等奖</w:t>
            </w:r>
          </w:p>
        </w:tc>
      </w:tr>
      <w:tr w:rsidR="00D32D44">
        <w:trPr>
          <w:trHeight w:val="90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成都碧水水务建设工程有限公司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环境保护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一种模块化污水处理系统项目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成都欣皓地基基础工程有限责任公司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一种方形钻孔灌注桩基用方桩钻头项目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四川省纺织科学研究院有限公司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新材料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</w:t>
            </w:r>
            <w:r>
              <w:rPr>
                <w:rFonts w:ascii="Times New Roman" w:eastAsia="方正仿宋_GBK" w:hAnsi="Times New Roman" w:cs="Times New Roman"/>
                <w:szCs w:val="21"/>
              </w:rPr>
              <w:t>V</w:t>
            </w:r>
            <w:r>
              <w:rPr>
                <w:rFonts w:ascii="Times New Roman" w:eastAsia="方正仿宋_GBK" w:hAnsi="Times New Roman" w:cs="Times New Roman"/>
                <w:szCs w:val="21"/>
              </w:rPr>
              <w:t>形聚二甲基硅氧烷聚氧乙烯醚单丙烯酸酯及其应用项目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616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中铁二局集团装饰装修工程有限公司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环境保护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一种用于二次排水的三通管产业化运用项目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卡斯柯信号（成都）有限公司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电子与信息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一种轨道交通进路冲突处理方法专利转化项目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1140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四川建设机械（集团）股份有限公司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光机电一体化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一种用于塔式起重机的附着杆专利（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ZL202020013804.6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）实施与产业化运用项目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恩斯迈科技（成都）有限公司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电子与信息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一种微波天线测试系统专利转化项目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成都益志科技有限责任公司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  <w:lang w:eastAsia="zh-Hans"/>
              </w:rPr>
              <w:t>新能源与高效节能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一种高温富氧烟气</w:t>
            </w:r>
            <w:r>
              <w:rPr>
                <w:rFonts w:ascii="Times New Roman" w:eastAsia="方正仿宋_GBK" w:hAnsi="Times New Roman" w:cs="Times New Roman"/>
                <w:szCs w:val="21"/>
                <w:lang w:eastAsia="zh-Hans"/>
              </w:rPr>
              <w:t>提纯氧循环利用的节能系统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成都中康大成环保科技有限公司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环境保护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一种智能吸烟舱专利转化项目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770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四川永鸿地理信息集团有限公司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地球、空间与海洋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一种多功能的测绘地理信息用测绘无人机项目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四川徽记食品股份有限公司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一种风味型口袋瓜子的开发及转化实施项目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成都金瑞建工机械有限公司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一种标准型双卧轴式搅拌机项目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50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成都创元电子有限公司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环境保护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一种阴极性能提升及相关组件优化专利转化项目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  <w:tr w:rsidR="00D32D44">
        <w:trPr>
          <w:trHeight w:val="312"/>
        </w:trPr>
        <w:tc>
          <w:tcPr>
            <w:tcW w:w="750" w:type="dxa"/>
            <w:vAlign w:val="center"/>
          </w:tcPr>
          <w:p w:rsidR="00D32D44" w:rsidRDefault="00C74E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26" w:type="dxa"/>
            <w:vAlign w:val="center"/>
          </w:tcPr>
          <w:p w:rsidR="00D32D44" w:rsidRDefault="00C74E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成都极客通科技有限公司</w:t>
            </w:r>
          </w:p>
        </w:tc>
        <w:tc>
          <w:tcPr>
            <w:tcW w:w="1467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电子与信息</w:t>
            </w:r>
          </w:p>
        </w:tc>
        <w:tc>
          <w:tcPr>
            <w:tcW w:w="25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一种可以实时切换频率的中继台设备及控制方法项目</w:t>
            </w:r>
          </w:p>
        </w:tc>
        <w:tc>
          <w:tcPr>
            <w:tcW w:w="1134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D32D44" w:rsidRDefault="00C74EF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三等奖</w:t>
            </w:r>
          </w:p>
        </w:tc>
      </w:tr>
    </w:tbl>
    <w:p w:rsidR="00D32D44" w:rsidRDefault="00D32D44">
      <w:pPr>
        <w:rPr>
          <w:sz w:val="36"/>
          <w:szCs w:val="44"/>
        </w:rPr>
      </w:pPr>
    </w:p>
    <w:sectPr w:rsidR="00D32D4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F5" w:rsidRDefault="00C74EF5" w:rsidP="00E2571D">
      <w:r>
        <w:separator/>
      </w:r>
    </w:p>
  </w:endnote>
  <w:endnote w:type="continuationSeparator" w:id="0">
    <w:p w:rsidR="00C74EF5" w:rsidRDefault="00C74EF5" w:rsidP="00E2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F5" w:rsidRDefault="00C74EF5" w:rsidP="00E2571D">
      <w:r>
        <w:separator/>
      </w:r>
    </w:p>
  </w:footnote>
  <w:footnote w:type="continuationSeparator" w:id="0">
    <w:p w:rsidR="00C74EF5" w:rsidRDefault="00C74EF5" w:rsidP="00E2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WNiMTRlODdkNGMzZWI3NTE5MTU1OTcyMWViMWUifQ=="/>
  </w:docVars>
  <w:rsids>
    <w:rsidRoot w:val="46626CEB"/>
    <w:rsid w:val="00C74EF5"/>
    <w:rsid w:val="00D32D44"/>
    <w:rsid w:val="00E2571D"/>
    <w:rsid w:val="031926D6"/>
    <w:rsid w:val="07E716AC"/>
    <w:rsid w:val="099C27C7"/>
    <w:rsid w:val="0BB5789D"/>
    <w:rsid w:val="0C8A0B48"/>
    <w:rsid w:val="100250AC"/>
    <w:rsid w:val="13B668A6"/>
    <w:rsid w:val="1440542F"/>
    <w:rsid w:val="14C43075"/>
    <w:rsid w:val="17090EBB"/>
    <w:rsid w:val="1B235FE0"/>
    <w:rsid w:val="1D7E68CF"/>
    <w:rsid w:val="23C920CC"/>
    <w:rsid w:val="2843559B"/>
    <w:rsid w:val="2A106ADF"/>
    <w:rsid w:val="2ADC79A3"/>
    <w:rsid w:val="31454C94"/>
    <w:rsid w:val="316B359A"/>
    <w:rsid w:val="36B6094A"/>
    <w:rsid w:val="37331585"/>
    <w:rsid w:val="46626CEB"/>
    <w:rsid w:val="49937C64"/>
    <w:rsid w:val="4D237AC4"/>
    <w:rsid w:val="4E8735EB"/>
    <w:rsid w:val="4FAE0885"/>
    <w:rsid w:val="508C3FF7"/>
    <w:rsid w:val="520E15F2"/>
    <w:rsid w:val="54E61766"/>
    <w:rsid w:val="5C717AD4"/>
    <w:rsid w:val="5EEE4454"/>
    <w:rsid w:val="6B41301B"/>
    <w:rsid w:val="785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0E01FD-2963-4F85-B499-7D34957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9">
    <w:name w:val="header"/>
    <w:basedOn w:val="a"/>
    <w:link w:val="Char"/>
    <w:rsid w:val="00E2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257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Dell</cp:lastModifiedBy>
  <cp:revision>2</cp:revision>
  <cp:lastPrinted>2022-11-02T08:29:00Z</cp:lastPrinted>
  <dcterms:created xsi:type="dcterms:W3CDTF">2022-11-18T07:13:00Z</dcterms:created>
  <dcterms:modified xsi:type="dcterms:W3CDTF">2022-11-18T07:13:00Z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8641C8D85A35429F9DDB2E81A141C32D</vt:lpwstr>
  </property>
  <property fmtid="{D5CDD505-2E9C-101B-9397-08002B2CF9AE}" pid="4" name="KSOSaveFontToCloudKey">
    <vt:lpwstr>341099865_btnclosed</vt:lpwstr>
  </property>
</Properties>
</file>