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24" w:firstLineChars="200"/>
        <w:jc w:val="center"/>
        <w:rPr>
          <w:rFonts w:ascii="黑体" w:hAnsi="黑体" w:eastAsia="黑体" w:cs="黑体"/>
          <w:spacing w:val="6"/>
          <w:sz w:val="40"/>
        </w:rPr>
      </w:pPr>
      <w:r>
        <w:rPr>
          <w:rFonts w:hint="eastAsia" w:ascii="黑体" w:hAnsi="黑体" w:eastAsia="黑体" w:cs="黑体"/>
          <w:spacing w:val="6"/>
          <w:sz w:val="40"/>
        </w:rPr>
        <w:t>成都高新区2022年中央引导地方科技发展资金定向转移支付项目拟推荐立项名单</w:t>
      </w:r>
    </w:p>
    <w:tbl>
      <w:tblPr>
        <w:tblStyle w:val="4"/>
        <w:tblW w:w="13555" w:type="dxa"/>
        <w:jc w:val="center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889"/>
        <w:gridCol w:w="3239"/>
        <w:gridCol w:w="2551"/>
        <w:gridCol w:w="2024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pacing w:val="6"/>
                <w:sz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pacing w:val="6"/>
                <w:sz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</w:rPr>
              <w:t>项目类别</w:t>
            </w:r>
          </w:p>
        </w:tc>
        <w:tc>
          <w:tcPr>
            <w:tcW w:w="3239" w:type="dxa"/>
            <w:vAlign w:val="center"/>
          </w:tcPr>
          <w:p>
            <w:pPr>
              <w:spacing w:line="440" w:lineRule="exact"/>
              <w:ind w:firstLine="504" w:firstLineChars="200"/>
              <w:jc w:val="center"/>
              <w:rPr>
                <w:rFonts w:ascii="黑体" w:hAnsi="黑体" w:eastAsia="黑体" w:cs="黑体"/>
                <w:spacing w:val="6"/>
                <w:sz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</w:rPr>
              <w:t>支持方向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pacing w:val="6"/>
                <w:sz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</w:rPr>
              <w:t>项目名称</w:t>
            </w:r>
          </w:p>
        </w:tc>
        <w:tc>
          <w:tcPr>
            <w:tcW w:w="202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pacing w:val="6"/>
                <w:sz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</w:rPr>
              <w:t>企业名称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pacing w:val="6"/>
                <w:sz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</w:rPr>
              <w:t>拟推荐支持金额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pacing w:val="6"/>
                <w:sz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5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8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区域内科技型中小企业</w:t>
            </w:r>
          </w:p>
          <w:p>
            <w:pPr>
              <w:spacing w:line="32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创新研发项目</w:t>
            </w:r>
          </w:p>
        </w:tc>
        <w:tc>
          <w:tcPr>
            <w:tcW w:w="323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方向一：支持通用型免疫细胞治疗创新药物研发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基于CD22靶点的抗体筛选及通用型CAR-T细胞药物的研发</w:t>
            </w:r>
          </w:p>
        </w:tc>
        <w:tc>
          <w:tcPr>
            <w:tcW w:w="2024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成都优赛诺生物科技有限公司</w:t>
            </w:r>
          </w:p>
        </w:tc>
        <w:tc>
          <w:tcPr>
            <w:tcW w:w="2087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5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889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</w:p>
        </w:tc>
        <w:tc>
          <w:tcPr>
            <w:tcW w:w="323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方向二：支持通用型新型病毒变异株mRNA疫苗和核酸药物研发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通用型新型病毒变异株mRNA疫苗的研发</w:t>
            </w:r>
          </w:p>
        </w:tc>
        <w:tc>
          <w:tcPr>
            <w:tcW w:w="2024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成都威斯津生物医药科技有限公司</w:t>
            </w:r>
          </w:p>
        </w:tc>
        <w:tc>
          <w:tcPr>
            <w:tcW w:w="2087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5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889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</w:p>
        </w:tc>
        <w:tc>
          <w:tcPr>
            <w:tcW w:w="323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方向三：支持代谢类罕见病基因治疗研究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腺相关病毒载体基因治疗法布里临床前研究</w:t>
            </w:r>
          </w:p>
        </w:tc>
        <w:tc>
          <w:tcPr>
            <w:tcW w:w="2024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四川至善唯新生物科技有限公司</w:t>
            </w:r>
          </w:p>
        </w:tc>
        <w:tc>
          <w:tcPr>
            <w:tcW w:w="2087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5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2889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</w:p>
        </w:tc>
        <w:tc>
          <w:tcPr>
            <w:tcW w:w="323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方向四：支持新生儿及婴幼儿传染性疾病预防类生物制品研发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新生儿口服轮状病毒减毒活疫苗临床前研究</w:t>
            </w:r>
          </w:p>
        </w:tc>
        <w:tc>
          <w:tcPr>
            <w:tcW w:w="2024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成都迈科康生物科技有限公司</w:t>
            </w:r>
          </w:p>
        </w:tc>
        <w:tc>
          <w:tcPr>
            <w:tcW w:w="2087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5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88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东西部科技合作及跨区域协同创新项目</w:t>
            </w:r>
          </w:p>
        </w:tc>
        <w:tc>
          <w:tcPr>
            <w:tcW w:w="3239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方向五：支持自身免疫性疾病高选择性激酶抑制剂研发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高选择性JAK/CDK6抑制剂马来酸氟诺替尼用于治疗斑秃的临床前研究</w:t>
            </w:r>
          </w:p>
        </w:tc>
        <w:tc>
          <w:tcPr>
            <w:tcW w:w="2024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成都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赜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灵生物医药科技有限公司</w:t>
            </w:r>
          </w:p>
        </w:tc>
        <w:tc>
          <w:tcPr>
            <w:tcW w:w="2087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80</w:t>
            </w:r>
          </w:p>
        </w:tc>
      </w:tr>
    </w:tbl>
    <w:p>
      <w:pPr>
        <w:jc w:val="left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64"/>
    <w:rsid w:val="000D002E"/>
    <w:rsid w:val="001155BC"/>
    <w:rsid w:val="001624EC"/>
    <w:rsid w:val="00183EB4"/>
    <w:rsid w:val="0023571A"/>
    <w:rsid w:val="002F6B8F"/>
    <w:rsid w:val="0030761D"/>
    <w:rsid w:val="00373CFE"/>
    <w:rsid w:val="00441652"/>
    <w:rsid w:val="006502C8"/>
    <w:rsid w:val="00797D13"/>
    <w:rsid w:val="00885433"/>
    <w:rsid w:val="008E78CA"/>
    <w:rsid w:val="00B743BC"/>
    <w:rsid w:val="00D63664"/>
    <w:rsid w:val="00D83B07"/>
    <w:rsid w:val="00E50104"/>
    <w:rsid w:val="00F4056E"/>
    <w:rsid w:val="022872FF"/>
    <w:rsid w:val="02484FA9"/>
    <w:rsid w:val="026F463C"/>
    <w:rsid w:val="027270A1"/>
    <w:rsid w:val="02C1788D"/>
    <w:rsid w:val="02CD147F"/>
    <w:rsid w:val="04350F85"/>
    <w:rsid w:val="048E1B6A"/>
    <w:rsid w:val="0490023F"/>
    <w:rsid w:val="04A2033C"/>
    <w:rsid w:val="0540406C"/>
    <w:rsid w:val="065E52A8"/>
    <w:rsid w:val="06CE2751"/>
    <w:rsid w:val="06D9200D"/>
    <w:rsid w:val="072A1EC3"/>
    <w:rsid w:val="07501E67"/>
    <w:rsid w:val="0771717E"/>
    <w:rsid w:val="079573E7"/>
    <w:rsid w:val="08270D55"/>
    <w:rsid w:val="08A46274"/>
    <w:rsid w:val="0904097F"/>
    <w:rsid w:val="090E5820"/>
    <w:rsid w:val="091F7F10"/>
    <w:rsid w:val="09D50203"/>
    <w:rsid w:val="0A2B366C"/>
    <w:rsid w:val="0B7C5D25"/>
    <w:rsid w:val="0C075F2A"/>
    <w:rsid w:val="0CCC1E3A"/>
    <w:rsid w:val="0DC5664F"/>
    <w:rsid w:val="0EB8281D"/>
    <w:rsid w:val="0ECB5ED4"/>
    <w:rsid w:val="0F301564"/>
    <w:rsid w:val="0F685E78"/>
    <w:rsid w:val="0FC64BA2"/>
    <w:rsid w:val="105437A0"/>
    <w:rsid w:val="109D2C3E"/>
    <w:rsid w:val="118C1781"/>
    <w:rsid w:val="12547CD1"/>
    <w:rsid w:val="12B117F4"/>
    <w:rsid w:val="15043E9F"/>
    <w:rsid w:val="154E3ED2"/>
    <w:rsid w:val="15A9455E"/>
    <w:rsid w:val="15AC00AA"/>
    <w:rsid w:val="167E00AA"/>
    <w:rsid w:val="16B635C4"/>
    <w:rsid w:val="16D4310F"/>
    <w:rsid w:val="17657D33"/>
    <w:rsid w:val="180E0DFB"/>
    <w:rsid w:val="185C37EB"/>
    <w:rsid w:val="1A336BF4"/>
    <w:rsid w:val="1ADB0337"/>
    <w:rsid w:val="1B1A270A"/>
    <w:rsid w:val="1BBD0CA0"/>
    <w:rsid w:val="1BBE2042"/>
    <w:rsid w:val="1C7356A4"/>
    <w:rsid w:val="1DA432EC"/>
    <w:rsid w:val="1DA46F18"/>
    <w:rsid w:val="1DA72C90"/>
    <w:rsid w:val="1DC77D88"/>
    <w:rsid w:val="1DE505C8"/>
    <w:rsid w:val="20B62BB1"/>
    <w:rsid w:val="20E15017"/>
    <w:rsid w:val="216F2DA3"/>
    <w:rsid w:val="21C3733C"/>
    <w:rsid w:val="22E46F7D"/>
    <w:rsid w:val="22F65DB4"/>
    <w:rsid w:val="231E5F79"/>
    <w:rsid w:val="23784E52"/>
    <w:rsid w:val="246C5F17"/>
    <w:rsid w:val="24925C2F"/>
    <w:rsid w:val="24F9118F"/>
    <w:rsid w:val="250853A4"/>
    <w:rsid w:val="2669475C"/>
    <w:rsid w:val="26D53717"/>
    <w:rsid w:val="26E07CEE"/>
    <w:rsid w:val="27054325"/>
    <w:rsid w:val="28735310"/>
    <w:rsid w:val="28AB5CDC"/>
    <w:rsid w:val="292224EE"/>
    <w:rsid w:val="29584FEC"/>
    <w:rsid w:val="297C551B"/>
    <w:rsid w:val="29D56BB1"/>
    <w:rsid w:val="2B266EBE"/>
    <w:rsid w:val="2BF34FD1"/>
    <w:rsid w:val="2CE311D5"/>
    <w:rsid w:val="2E222F79"/>
    <w:rsid w:val="2E866301"/>
    <w:rsid w:val="2F5E2256"/>
    <w:rsid w:val="2F84737F"/>
    <w:rsid w:val="2FA957F6"/>
    <w:rsid w:val="2FF32CAA"/>
    <w:rsid w:val="31F805C8"/>
    <w:rsid w:val="31FB5BA4"/>
    <w:rsid w:val="32881C57"/>
    <w:rsid w:val="32D54C81"/>
    <w:rsid w:val="32F971F1"/>
    <w:rsid w:val="33035219"/>
    <w:rsid w:val="3371226D"/>
    <w:rsid w:val="344025B7"/>
    <w:rsid w:val="34796334"/>
    <w:rsid w:val="349E2C59"/>
    <w:rsid w:val="36585376"/>
    <w:rsid w:val="36916189"/>
    <w:rsid w:val="36B92262"/>
    <w:rsid w:val="36E403B0"/>
    <w:rsid w:val="388B4B33"/>
    <w:rsid w:val="391264A5"/>
    <w:rsid w:val="39776934"/>
    <w:rsid w:val="39A9363A"/>
    <w:rsid w:val="3A0C0F36"/>
    <w:rsid w:val="3A772D97"/>
    <w:rsid w:val="3B445EE2"/>
    <w:rsid w:val="3B9837E3"/>
    <w:rsid w:val="3BA83A24"/>
    <w:rsid w:val="3C601646"/>
    <w:rsid w:val="3D014E31"/>
    <w:rsid w:val="3D1B167C"/>
    <w:rsid w:val="3D6D0504"/>
    <w:rsid w:val="3DF03104"/>
    <w:rsid w:val="3E034F62"/>
    <w:rsid w:val="3E4A1295"/>
    <w:rsid w:val="3E8F111C"/>
    <w:rsid w:val="3F9642B2"/>
    <w:rsid w:val="400107C2"/>
    <w:rsid w:val="408D2676"/>
    <w:rsid w:val="413C71B1"/>
    <w:rsid w:val="41C45EC0"/>
    <w:rsid w:val="42663029"/>
    <w:rsid w:val="42F002FA"/>
    <w:rsid w:val="439D5585"/>
    <w:rsid w:val="43A47012"/>
    <w:rsid w:val="453A6BFD"/>
    <w:rsid w:val="45465F22"/>
    <w:rsid w:val="464C5914"/>
    <w:rsid w:val="465A169C"/>
    <w:rsid w:val="47AD1203"/>
    <w:rsid w:val="484B4B3B"/>
    <w:rsid w:val="484C7B40"/>
    <w:rsid w:val="48936663"/>
    <w:rsid w:val="48B60822"/>
    <w:rsid w:val="49623D35"/>
    <w:rsid w:val="49862A66"/>
    <w:rsid w:val="49A47BAC"/>
    <w:rsid w:val="4A605ECF"/>
    <w:rsid w:val="4B7C1E9F"/>
    <w:rsid w:val="4B924F53"/>
    <w:rsid w:val="4BA12C04"/>
    <w:rsid w:val="4BC452C7"/>
    <w:rsid w:val="4BDF6CB9"/>
    <w:rsid w:val="4D4236A5"/>
    <w:rsid w:val="4E090204"/>
    <w:rsid w:val="50051CB4"/>
    <w:rsid w:val="500E3A3B"/>
    <w:rsid w:val="50AB1555"/>
    <w:rsid w:val="50F834E1"/>
    <w:rsid w:val="51D07183"/>
    <w:rsid w:val="52936269"/>
    <w:rsid w:val="529A7E32"/>
    <w:rsid w:val="530413BE"/>
    <w:rsid w:val="53141C3E"/>
    <w:rsid w:val="533E26EC"/>
    <w:rsid w:val="53C71105"/>
    <w:rsid w:val="543157A3"/>
    <w:rsid w:val="547B04F9"/>
    <w:rsid w:val="54C72ABD"/>
    <w:rsid w:val="560A5610"/>
    <w:rsid w:val="56405611"/>
    <w:rsid w:val="57E361D1"/>
    <w:rsid w:val="5899515D"/>
    <w:rsid w:val="58EF5519"/>
    <w:rsid w:val="593938DD"/>
    <w:rsid w:val="59A67571"/>
    <w:rsid w:val="59C34230"/>
    <w:rsid w:val="5A675B91"/>
    <w:rsid w:val="5B3E51AD"/>
    <w:rsid w:val="5B4A7152"/>
    <w:rsid w:val="5B610381"/>
    <w:rsid w:val="5BCC1D78"/>
    <w:rsid w:val="5BF5181B"/>
    <w:rsid w:val="5C602178"/>
    <w:rsid w:val="5C6167FA"/>
    <w:rsid w:val="5CB11BE7"/>
    <w:rsid w:val="5CC05D5D"/>
    <w:rsid w:val="5D2D0FB4"/>
    <w:rsid w:val="5D5C049B"/>
    <w:rsid w:val="5E524D90"/>
    <w:rsid w:val="5F1E499B"/>
    <w:rsid w:val="5F295E43"/>
    <w:rsid w:val="5F6820FE"/>
    <w:rsid w:val="5F9B2443"/>
    <w:rsid w:val="5FFC685E"/>
    <w:rsid w:val="60193A86"/>
    <w:rsid w:val="6024780F"/>
    <w:rsid w:val="60E055F0"/>
    <w:rsid w:val="60E6287D"/>
    <w:rsid w:val="61013FEB"/>
    <w:rsid w:val="613A02C6"/>
    <w:rsid w:val="619B208B"/>
    <w:rsid w:val="61F76CCB"/>
    <w:rsid w:val="62347899"/>
    <w:rsid w:val="62C64DB0"/>
    <w:rsid w:val="634042D8"/>
    <w:rsid w:val="64D52082"/>
    <w:rsid w:val="6687354A"/>
    <w:rsid w:val="687410C9"/>
    <w:rsid w:val="68824E18"/>
    <w:rsid w:val="68A807DA"/>
    <w:rsid w:val="69A408BF"/>
    <w:rsid w:val="69B24A1E"/>
    <w:rsid w:val="69E01046"/>
    <w:rsid w:val="6B8D61EC"/>
    <w:rsid w:val="6B950C59"/>
    <w:rsid w:val="6CB25E82"/>
    <w:rsid w:val="6CE03462"/>
    <w:rsid w:val="6D1B4E51"/>
    <w:rsid w:val="6DE023F6"/>
    <w:rsid w:val="6DFF7882"/>
    <w:rsid w:val="6E18053F"/>
    <w:rsid w:val="6E641E24"/>
    <w:rsid w:val="6E822F8A"/>
    <w:rsid w:val="6E8B7DCC"/>
    <w:rsid w:val="6EAD1C85"/>
    <w:rsid w:val="6F194E3C"/>
    <w:rsid w:val="6F821E2D"/>
    <w:rsid w:val="707B3605"/>
    <w:rsid w:val="708B0CD7"/>
    <w:rsid w:val="7193034C"/>
    <w:rsid w:val="72150A18"/>
    <w:rsid w:val="72576CEB"/>
    <w:rsid w:val="72A9305F"/>
    <w:rsid w:val="731E4A7A"/>
    <w:rsid w:val="737555C1"/>
    <w:rsid w:val="74665300"/>
    <w:rsid w:val="74CA0DF6"/>
    <w:rsid w:val="76214D6E"/>
    <w:rsid w:val="76967EB6"/>
    <w:rsid w:val="77402C56"/>
    <w:rsid w:val="775E5F28"/>
    <w:rsid w:val="77836C61"/>
    <w:rsid w:val="779D20E1"/>
    <w:rsid w:val="77B97AA6"/>
    <w:rsid w:val="783000E0"/>
    <w:rsid w:val="78774EAE"/>
    <w:rsid w:val="795E0301"/>
    <w:rsid w:val="79F933E7"/>
    <w:rsid w:val="7AD87B42"/>
    <w:rsid w:val="7B772226"/>
    <w:rsid w:val="7BAE4BEF"/>
    <w:rsid w:val="7C037919"/>
    <w:rsid w:val="7DC711AF"/>
    <w:rsid w:val="7E150FD5"/>
    <w:rsid w:val="7E9208C4"/>
    <w:rsid w:val="7F1F054D"/>
    <w:rsid w:val="7FBB7781"/>
    <w:rsid w:val="7F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58</TotalTime>
  <ScaleCrop>false</ScaleCrop>
  <LinksUpToDate>false</LinksUpToDate>
  <CharactersWithSpaces>481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2022-10-09T02:46:00Z</dcterms:created>
  <dc:creator>zr</dc:creator>
  <cp:lastModifiedBy>zr</cp:lastModifiedBy>
  <cp:lastPrinted>2022-10-10T07:17:00Z</cp:lastPrinted>
  <dcterms:modified xsi:type="dcterms:W3CDTF">2022-10-27T09:52:53Z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