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hint="eastAsia" w:asciiTheme="minorEastAsia" w:hAnsiTheme="minorEastAsia" w:eastAsiaTheme="minorEastAsia"/>
          <w:b/>
          <w:color w:val="FF0000"/>
          <w:w w:val="55"/>
          <w:sz w:val="32"/>
          <w:szCs w:val="32"/>
        </w:rPr>
      </w:pPr>
    </w:p>
    <w:p>
      <w:pPr>
        <w:spacing w:line="579" w:lineRule="exact"/>
        <w:jc w:val="center"/>
        <w:rPr>
          <w:rFonts w:eastAsia="方正大标宋简体"/>
          <w:b/>
          <w:color w:val="FF0000"/>
          <w:w w:val="55"/>
          <w:sz w:val="32"/>
          <w:szCs w:val="32"/>
        </w:rPr>
      </w:pPr>
    </w:p>
    <w:p>
      <w:pPr>
        <w:spacing w:line="579" w:lineRule="exact"/>
        <w:jc w:val="center"/>
        <w:rPr>
          <w:rFonts w:eastAsia="方正大标宋简体"/>
          <w:b/>
          <w:color w:val="FF0000"/>
          <w:w w:val="55"/>
          <w:sz w:val="32"/>
          <w:szCs w:val="32"/>
        </w:rPr>
      </w:pPr>
    </w:p>
    <w:p>
      <w:pPr>
        <w:tabs>
          <w:tab w:val="left" w:pos="142"/>
        </w:tabs>
        <w:ind w:left="-359" w:leftChars="-204" w:right="-510" w:rightChars="-243" w:hanging="69" w:hangingChars="11"/>
        <w:jc w:val="center"/>
        <w:rPr>
          <w:rFonts w:eastAsia="方正仿宋简体"/>
          <w:spacing w:val="20"/>
          <w:w w:val="53"/>
          <w:sz w:val="112"/>
          <w:szCs w:val="112"/>
        </w:rPr>
      </w:pPr>
      <w:r>
        <w:rPr>
          <w:rFonts w:hint="eastAsia" w:ascii="方正小标宋_GBK" w:eastAsia="方正小标宋_GBK"/>
          <w:color w:val="FF0000"/>
          <w:spacing w:val="20"/>
          <w:w w:val="53"/>
          <w:sz w:val="112"/>
          <w:szCs w:val="112"/>
        </w:rPr>
        <w:t>成都经开区经济和信息化局文件</w:t>
      </w:r>
    </w:p>
    <w:p>
      <w:pPr>
        <w:spacing w:line="579" w:lineRule="exact"/>
        <w:jc w:val="center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成经开经信</w:t>
      </w:r>
      <w:r>
        <w:rPr>
          <w:rFonts w:eastAsia="方正仿宋_GBK"/>
          <w:sz w:val="32"/>
          <w:szCs w:val="32"/>
        </w:rPr>
        <w:t>发〔20</w:t>
      </w:r>
      <w:r>
        <w:rPr>
          <w:rFonts w:hint="eastAsia" w:eastAsia="方正仿宋_GBK"/>
          <w:sz w:val="32"/>
          <w:szCs w:val="32"/>
        </w:rPr>
        <w:t>22</w:t>
      </w:r>
      <w:r>
        <w:rPr>
          <w:rFonts w:eastAsia="方正仿宋_GBK"/>
          <w:sz w:val="32"/>
          <w:szCs w:val="32"/>
        </w:rPr>
        <w:t>〕</w:t>
      </w:r>
      <w:r>
        <w:rPr>
          <w:rFonts w:hint="eastAsia" w:eastAsia="方正仿宋_GBK"/>
          <w:sz w:val="32"/>
          <w:szCs w:val="32"/>
        </w:rPr>
        <w:t>47</w:t>
      </w:r>
      <w:r>
        <w:rPr>
          <w:rFonts w:eastAsia="方正仿宋_GBK"/>
          <w:sz w:val="32"/>
          <w:szCs w:val="32"/>
        </w:rPr>
        <w:t>号</w:t>
      </w:r>
    </w:p>
    <w:p>
      <w:pPr>
        <w:spacing w:line="579" w:lineRule="exact"/>
        <w:ind w:firstLine="160" w:firstLineChars="50"/>
        <w:jc w:val="center"/>
        <w:rPr>
          <w:rFonts w:eastAsia="华文中宋"/>
          <w:b/>
          <w:color w:val="FF0000"/>
          <w:sz w:val="36"/>
          <w:szCs w:val="44"/>
        </w:rPr>
      </w:pPr>
      <w:r>
        <w:rPr>
          <w:rFonts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17145</wp:posOffset>
                </wp:positionV>
                <wp:extent cx="5615940" cy="635"/>
                <wp:effectExtent l="0" t="0" r="0" b="0"/>
                <wp:wrapNone/>
                <wp:docPr id="3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-0.15pt;margin-top:1.35pt;height:0.05pt;width:442.2pt;z-index:251659264;mso-width-relative:page;mso-height-relative:page;" filled="f" stroked="t" coordsize="21600,21600" o:gfxdata="UEsDBAoAAAAAAIdO4kAAAAAAAAAAAAAAAAAEAAAAZHJzL1BLAwQUAAAACACHTuJAhbkSA9QAAAAF&#10;AQAADwAAAGRycy9kb3ducmV2LnhtbE2OwU7DMBBE70j8g7VI3FonpaIhjVMhJDjBoaUcuDnxNg7E&#10;6yh2k/D3LCd6HM3ozSt2s+vEiENoPSlIlwkIpNqblhoFx/fnRQYiRE1Gd55QwQ8G2JXXV4XOjZ9o&#10;j+MhNoIhFHKtwMbY51KG2qLTYel7JO5OfnA6chwaaQY9Mdx1cpUk99LplvjB6h6fLNbfh7NTsH79&#10;qPppsJ/H/cu8ecB5Gt++HpW6vUmTLYiIc/wfw58+q0PJTpU/kwmiU7C446GC1QYEt1m2TkFUnDOQ&#10;ZSEv7ctfUEsDBBQAAAAIAIdO4kBdm48d0wEAALADAAAOAAAAZHJzL2Uyb0RvYy54bWytU8GO2jAQ&#10;vVfqP1i+lwS20DYi7AFEL7RF2u0HGMchVm2P5TEk/H3HJtDu9rKH5mDZnpk3771xlo+DNeysAmpw&#10;NZ9OSs6Uk9Bod6z5z+fth8+cYRSuEQacqvlFIX9cvX+37H2lZtCBaVRgBOKw6n3Nuxh9VRQoO2UF&#10;TsArR8EWghWRjuFYNEH0hG5NMSvLRdFDaHwAqRDpdnMN8hExvAUQ2lZLtQF5ssrFK2pQRkSShJ32&#10;yFeZbdsqGX+0LarITM1JacwrNaH9Ia3FaimqYxC+03KkIN5C4ZUmK7SjpneojYiCnYL+B8pqGQCh&#10;jRMJtrgKyY6Qimn5ypunTniVtZDV6O+m4/+Dld/P+8B0U/MHzpywNPCddorNkjO9x4oS1m4fkjY5&#10;uCe/A/kLmYN1J9xRZYbPF09l01RRvChJB/SEf+i/QUM54hQh2zS0wSZIMoANeRqX+zTUEJmky/li&#10;Ov/ykQYlKbZ4mGd8Ud1KfcD4VYFlaVNzQ6wztDjvMCYqorqlpE4OttqYPG7jWE98Z5/KMlcgGN2k&#10;aMrDcDysTWBnQS9muy3pGxu/SAtwcs21i3GpTuXHNra+Cb9aeIDmsg83d2iQmdz46NJL+fucPfzz&#10;o61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W5EgPUAAAABQEAAA8AAAAAAAAAAQAgAAAAIgAA&#10;AGRycy9kb3ducmV2LnhtbFBLAQIUABQAAAAIAIdO4kBdm48d0wEAALADAAAOAAAAAAAAAAEAIAAA&#10;ACMBAABkcnMvZTJvRG9jLnhtbFBLBQYAAAAABgAGAFkBAABoBQAAAAA=&#10;">
                <v:fill on="f" focussize="0,0"/>
                <v:stroke weight="1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79" w:lineRule="exact"/>
        <w:jc w:val="center"/>
        <w:rPr>
          <w:rFonts w:eastAsia="华文中宋"/>
          <w:color w:val="FF0000"/>
          <w:sz w:val="36"/>
          <w:szCs w:val="44"/>
        </w:rPr>
      </w:pPr>
    </w:p>
    <w:p>
      <w:pPr>
        <w:tabs>
          <w:tab w:val="left" w:pos="1276"/>
          <w:tab w:val="left" w:pos="7513"/>
          <w:tab w:val="left" w:pos="7655"/>
        </w:tabs>
        <w:spacing w:line="579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成都经开区经济和信息化局</w:t>
      </w:r>
    </w:p>
    <w:p>
      <w:pPr>
        <w:adjustRightInd w:val="0"/>
        <w:snapToGrid w:val="0"/>
        <w:spacing w:line="579" w:lineRule="exact"/>
        <w:jc w:val="center"/>
        <w:rPr>
          <w:rFonts w:eastAsia="方正小标宋_GBK"/>
          <w:sz w:val="44"/>
          <w:szCs w:val="44"/>
        </w:rPr>
      </w:pPr>
      <w:bookmarkStart w:id="0" w:name="OLE_LINK35"/>
      <w:bookmarkStart w:id="1" w:name="OLE_LINK34"/>
      <w:r>
        <w:rPr>
          <w:rFonts w:eastAsia="方正小标宋_GBK"/>
          <w:sz w:val="44"/>
          <w:szCs w:val="44"/>
        </w:rPr>
        <w:t>关于印发《成都经开区（龙泉驿区）规上工业企业2022年4—9月电费补贴实施细则》</w:t>
      </w:r>
    </w:p>
    <w:p>
      <w:pPr>
        <w:adjustRightInd w:val="0"/>
        <w:snapToGrid w:val="0"/>
        <w:spacing w:line="579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的通知</w:t>
      </w:r>
    </w:p>
    <w:p>
      <w:pPr>
        <w:adjustRightInd w:val="0"/>
        <w:snapToGrid w:val="0"/>
        <w:spacing w:line="579" w:lineRule="exact"/>
        <w:jc w:val="left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jc w:val="lef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各有关企业：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为做好规上工业企业2022年4月</w:t>
      </w:r>
      <w:r>
        <w:rPr>
          <w:rFonts w:hint="eastAsia" w:eastAsia="方正仿宋_GBK"/>
          <w:sz w:val="32"/>
          <w:szCs w:val="32"/>
        </w:rPr>
        <w:t>—</w:t>
      </w:r>
      <w:r>
        <w:rPr>
          <w:rFonts w:eastAsia="方正仿宋_GBK"/>
          <w:sz w:val="32"/>
          <w:szCs w:val="32"/>
        </w:rPr>
        <w:t>9月电费补贴发放工作，根据《成都经开区（龙泉驿区）关于保就业稳市场主体稳增长的若干政策（暂行）》（龙府发〔2022〕9号）、《成都经开区（龙泉驿区）关于助企纾困解难加快复工复产的政策措施》（成经开发改发〔2022〕25号）相关规定，特制定印发《成都经开区（龙泉驿区）规上工业企业2022年4—9月电费补贴实施细则》，请遵照执行。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特此通知。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tabs>
          <w:tab w:val="left" w:pos="709"/>
        </w:tabs>
        <w:adjustRightInd w:val="0"/>
        <w:snapToGrid w:val="0"/>
        <w:spacing w:line="579" w:lineRule="exact"/>
        <w:ind w:left="1590" w:leftChars="300" w:hanging="960" w:hangingChars="3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附件：成都经开区（龙泉驿区）规上工业企业2022年4—9月电费补贴实施细则</w:t>
      </w:r>
    </w:p>
    <w:p>
      <w:pPr>
        <w:adjustRightInd w:val="0"/>
        <w:snapToGrid w:val="0"/>
        <w:spacing w:line="64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64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pStyle w:val="2"/>
        <w:tabs>
          <w:tab w:val="left" w:pos="8222"/>
        </w:tabs>
        <w:spacing w:after="0" w:line="579" w:lineRule="exact"/>
        <w:ind w:firstLine="4320" w:firstLineChars="1350"/>
        <w:rPr>
          <w:szCs w:val="32"/>
        </w:rPr>
      </w:pPr>
      <w:r>
        <w:rPr>
          <w:szCs w:val="32"/>
        </w:rPr>
        <w:t>成都经开区经济和信息化局</w:t>
      </w:r>
    </w:p>
    <w:p>
      <w:pPr>
        <w:adjustRightInd w:val="0"/>
        <w:snapToGrid w:val="0"/>
        <w:spacing w:line="579" w:lineRule="exact"/>
        <w:ind w:firstLine="4960" w:firstLineChars="155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2022年10月</w:t>
      </w:r>
      <w:r>
        <w:rPr>
          <w:rFonts w:hint="eastAsia" w:eastAsia="方正仿宋_GBK"/>
          <w:sz w:val="32"/>
          <w:szCs w:val="32"/>
          <w:lang w:val="en-US" w:eastAsia="zh-CN"/>
        </w:rPr>
        <w:t>31</w:t>
      </w:r>
      <w:r>
        <w:rPr>
          <w:rFonts w:eastAsia="方正仿宋_GBK"/>
          <w:sz w:val="32"/>
          <w:szCs w:val="32"/>
        </w:rPr>
        <w:t>日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（联系人：魏铭；联系电话：</w:t>
      </w:r>
      <w:r>
        <w:rPr>
          <w:rFonts w:hint="eastAsia" w:eastAsia="方正仿宋_GBK"/>
          <w:sz w:val="32"/>
          <w:szCs w:val="32"/>
          <w:lang w:val="en-US" w:eastAsia="zh-CN"/>
        </w:rPr>
        <w:t>84896965</w:t>
      </w:r>
      <w:r>
        <w:rPr>
          <w:rFonts w:eastAsia="方正仿宋_GBK"/>
          <w:sz w:val="32"/>
          <w:szCs w:val="32"/>
        </w:rPr>
        <w:t>）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jc w:val="lef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</w:p>
    <w:p>
      <w:pPr>
        <w:adjustRightInd w:val="0"/>
        <w:snapToGrid w:val="0"/>
        <w:spacing w:line="579" w:lineRule="exact"/>
        <w:jc w:val="left"/>
        <w:rPr>
          <w:rFonts w:ascii="方正黑体_GBK" w:eastAsia="方正黑体_GBK"/>
          <w:sz w:val="32"/>
          <w:szCs w:val="32"/>
        </w:rPr>
      </w:pPr>
    </w:p>
    <w:p>
      <w:pPr>
        <w:adjustRightInd w:val="0"/>
        <w:snapToGrid w:val="0"/>
        <w:spacing w:line="579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成都经开区（龙泉驿区）规上工业企业</w:t>
      </w:r>
    </w:p>
    <w:p>
      <w:pPr>
        <w:adjustRightInd w:val="0"/>
        <w:snapToGrid w:val="0"/>
        <w:spacing w:line="579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2022年4—9月电费补贴实施细则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为贯彻落实《关于进一步优化营商环境更好服务市场主体的实施意见》（国办发〔2020〕24号）、《中共成都市委办公厅、成都市人民政府关于印发&lt;成都市强化创新突破建设稳定公平可及营商环境标杆城市实施方案&gt;的通知》（成委厅〔2021〕66号）有关实施惠企政策和服务“免申即享”的部署，根据《成都经开区（龙泉驿区）关于保就业稳市场主体稳增长的若干政策（暂行）》（龙府发〔2022〕9号）、《成都经开区（龙泉驿区）关于助企纾困解难加快复工复产的政策措施》（成经开发改发〔2022〕25号）相关规定，为做好规上工业企业2022年4月—9月电费补贴发放工作，结合我区实际，特制定本实施细则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一、补贴</w:t>
      </w:r>
      <w:r>
        <w:rPr>
          <w:rFonts w:hint="eastAsia" w:eastAsia="方正黑体_GBK"/>
          <w:sz w:val="32"/>
          <w:szCs w:val="32"/>
        </w:rPr>
        <w:t>对象</w:t>
      </w:r>
      <w:r>
        <w:rPr>
          <w:rFonts w:eastAsia="方正黑体_GBK"/>
          <w:sz w:val="32"/>
          <w:szCs w:val="32"/>
        </w:rPr>
        <w:t>及</w:t>
      </w:r>
      <w:r>
        <w:rPr>
          <w:rFonts w:hint="eastAsia" w:eastAsia="方正黑体_GBK"/>
          <w:sz w:val="32"/>
          <w:szCs w:val="32"/>
        </w:rPr>
        <w:t>标准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截至2022年9月30日龙泉驿区在库在产（申报产值）规上工业企业，给予2022年4月1日—9月30日结算电费的5%补贴。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二、</w:t>
      </w:r>
      <w:r>
        <w:rPr>
          <w:rFonts w:hint="eastAsia" w:eastAsia="方正黑体_GBK"/>
          <w:sz w:val="32"/>
          <w:szCs w:val="32"/>
        </w:rPr>
        <w:t>补贴发放方式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本次电费补贴</w:t>
      </w:r>
      <w:r>
        <w:rPr>
          <w:rFonts w:hint="eastAsia" w:eastAsia="方正仿宋_GBK"/>
          <w:sz w:val="32"/>
          <w:szCs w:val="32"/>
        </w:rPr>
        <w:t>按</w:t>
      </w:r>
      <w:r>
        <w:rPr>
          <w:rFonts w:eastAsia="方正仿宋_GBK"/>
          <w:sz w:val="32"/>
          <w:szCs w:val="32"/>
        </w:rPr>
        <w:t>免申即享</w:t>
      </w:r>
      <w:r>
        <w:rPr>
          <w:rFonts w:hint="eastAsia" w:eastAsia="方正仿宋_GBK"/>
          <w:sz w:val="32"/>
          <w:szCs w:val="32"/>
        </w:rPr>
        <w:t>方式实施。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hint="eastAsia" w:eastAsia="方正黑体_GBK"/>
          <w:sz w:val="32"/>
          <w:szCs w:val="32"/>
        </w:rPr>
        <w:t>三</w:t>
      </w:r>
      <w:r>
        <w:rPr>
          <w:rFonts w:eastAsia="方正黑体_GBK"/>
          <w:sz w:val="32"/>
          <w:szCs w:val="32"/>
        </w:rPr>
        <w:t>、</w:t>
      </w:r>
      <w:r>
        <w:rPr>
          <w:rFonts w:hint="eastAsia" w:eastAsia="方正黑体_GBK"/>
          <w:sz w:val="32"/>
          <w:szCs w:val="32"/>
        </w:rPr>
        <w:t>补贴发放程序</w:t>
      </w:r>
    </w:p>
    <w:p>
      <w:pPr>
        <w:adjustRightInd w:val="0"/>
        <w:snapToGrid w:val="0"/>
        <w:spacing w:line="579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（一）补贴金额首次公示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根据区统计局提供的在库在产规上工业企业名单，由区供电公司提供名单内规上工业企业4月1日—9月30日结算电费金额，由区经信局据此计算补贴金额，形成补贴清单，对外公示5个工作日，同步推送至各相关规上工业企业。</w:t>
      </w:r>
    </w:p>
    <w:p>
      <w:pPr>
        <w:adjustRightInd w:val="0"/>
        <w:snapToGrid w:val="0"/>
        <w:spacing w:line="579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（二）补贴异议申诉申报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1．在公示期内及结束后5个工作日内，各相关工业企业对公示内容完成确认。存在异议的，在此期间内完成异议申诉申报。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2．若企业存在向其他企业转供电行为，须主动向区经信局申报，扣除转供电费用；若企业因未单独开户（由其他企业转供）、开户名与企业名称不符等，由企业在此期间内向区经信局申诉申报。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</w:rPr>
      </w:pPr>
      <w:r>
        <w:rPr>
          <w:rFonts w:eastAsia="方正仿宋_GBK"/>
          <w:sz w:val="32"/>
          <w:szCs w:val="32"/>
        </w:rPr>
        <w:t>3．申诉申报需提交2022年4月1日—9月30日实际电费支出发票、收付款凭证或其他有关证明材料。</w:t>
      </w:r>
    </w:p>
    <w:p>
      <w:pPr>
        <w:adjustRightInd w:val="0"/>
        <w:snapToGrid w:val="0"/>
        <w:spacing w:line="579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（三）补贴发放金额公示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异议申诉申报处理完毕后，形成最终补贴清单再次对外公示5个工作日，同步推送至各相关企业，并接受社会举报。</w:t>
      </w:r>
    </w:p>
    <w:p>
      <w:pPr>
        <w:adjustRightInd w:val="0"/>
        <w:snapToGrid w:val="0"/>
        <w:spacing w:line="579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四</w:t>
      </w:r>
      <w:r>
        <w:rPr>
          <w:rFonts w:ascii="方正楷体_GBK" w:hAnsi="方正楷体_GBK" w:eastAsia="方正楷体_GBK" w:cs="方正楷体_GBK"/>
          <w:sz w:val="32"/>
          <w:szCs w:val="32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补贴发放金额确认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各相关工业企业在补贴发放金额公示期内，再次完成确认，并提交电费补贴确认书（详见附件）。逾期未确认并提交确认书的，视为放弃，不予发放电费补贴。</w:t>
      </w:r>
    </w:p>
    <w:p>
      <w:pPr>
        <w:adjustRightInd w:val="0"/>
        <w:snapToGrid w:val="0"/>
        <w:spacing w:line="579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五</w:t>
      </w:r>
      <w:r>
        <w:rPr>
          <w:rFonts w:ascii="方正楷体_GBK" w:hAnsi="方正楷体_GBK" w:eastAsia="方正楷体_GBK" w:cs="方正楷体_GBK"/>
          <w:sz w:val="32"/>
          <w:szCs w:val="32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补贴</w:t>
      </w:r>
      <w:r>
        <w:rPr>
          <w:rFonts w:ascii="方正楷体_GBK" w:hAnsi="方正楷体_GBK" w:eastAsia="方正楷体_GBK" w:cs="方正楷体_GBK"/>
          <w:sz w:val="32"/>
          <w:szCs w:val="32"/>
        </w:rPr>
        <w:t>资金发放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在预算资金下达后，区经信局及时向企业拨付补贴资金。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hint="eastAsia" w:eastAsia="方正黑体_GBK"/>
          <w:sz w:val="32"/>
          <w:szCs w:val="32"/>
        </w:rPr>
        <w:t>四</w:t>
      </w:r>
      <w:r>
        <w:rPr>
          <w:rFonts w:eastAsia="方正黑体_GBK"/>
          <w:sz w:val="32"/>
          <w:szCs w:val="32"/>
        </w:rPr>
        <w:t>、其他事项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（一）本补贴为一次性补贴。企业在2022年4—9月期间的电费应正常缴纳。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（二）异议受理单位：成都经开区经济和信息化局能源管理服务科；地址：成都经开区南四路成都公路口岸809室；异议受理电话：84896965，邮箱：</w:t>
      </w:r>
      <w:r>
        <w:fldChar w:fldCharType="begin"/>
      </w:r>
      <w:r>
        <w:instrText xml:space="preserve"> HYPERLINK "mailto:lqynyb@163.com。" </w:instrText>
      </w:r>
      <w:r>
        <w:fldChar w:fldCharType="separate"/>
      </w:r>
      <w:r>
        <w:rPr>
          <w:rFonts w:eastAsia="方正仿宋_GBK"/>
          <w:sz w:val="32"/>
          <w:szCs w:val="32"/>
        </w:rPr>
        <w:t>lqynyb@163.com。</w:t>
      </w:r>
      <w:r>
        <w:rPr>
          <w:rFonts w:eastAsia="方正仿宋_GBK"/>
          <w:sz w:val="32"/>
          <w:szCs w:val="32"/>
        </w:rPr>
        <w:fldChar w:fldCharType="end"/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三）区经信局按照不低于5%比例，对享受补贴的企业进行随机抽查，对于包括但不限于存在提供虚假发票、隐瞒转供电、虚报用电量等行为涉嫌骗取补贴资金的企业，区经信局将追回该企业补贴资金，形成享受龙泉驿区工业（能源）及其他财政补贴资金的负面清单，并将其纳入有序用电、用气优先错峰及限停名单。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（四）本细则由区经信局负责解释，自印发之日起生效，有效期至资金补贴发放结束。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附件：</w:t>
      </w:r>
      <w:r>
        <w:rPr>
          <w:rFonts w:hint="eastAsia" w:eastAsia="方正仿宋_GBK"/>
          <w:sz w:val="32"/>
          <w:szCs w:val="32"/>
        </w:rPr>
        <w:t>电费补贴确认书（模板）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</w:p>
    <w:bookmarkEnd w:id="0"/>
    <w:bookmarkEnd w:id="1"/>
    <w:p>
      <w:pPr>
        <w:spacing w:line="579" w:lineRule="exact"/>
        <w:jc w:val="left"/>
        <w:rPr>
          <w:rFonts w:eastAsia="方正黑体_GBK"/>
          <w:color w:val="000000"/>
          <w:sz w:val="32"/>
          <w:szCs w:val="32"/>
        </w:rPr>
      </w:pPr>
    </w:p>
    <w:p>
      <w:pPr>
        <w:spacing w:line="579" w:lineRule="exact"/>
        <w:jc w:val="left"/>
        <w:rPr>
          <w:rFonts w:eastAsia="方正黑体_GBK"/>
          <w:color w:val="000000"/>
          <w:sz w:val="32"/>
          <w:szCs w:val="32"/>
        </w:rPr>
      </w:pPr>
    </w:p>
    <w:p>
      <w:pPr>
        <w:spacing w:line="579" w:lineRule="exact"/>
        <w:jc w:val="left"/>
        <w:rPr>
          <w:rFonts w:eastAsia="方正黑体_GBK"/>
          <w:color w:val="000000"/>
          <w:sz w:val="32"/>
          <w:szCs w:val="32"/>
        </w:rPr>
      </w:pPr>
      <w:r>
        <w:rPr>
          <w:rFonts w:eastAsia="方正黑体_GBK"/>
          <w:color w:val="000000"/>
          <w:sz w:val="32"/>
          <w:szCs w:val="32"/>
        </w:rPr>
        <w:t>附件</w:t>
      </w:r>
      <w:r>
        <w:rPr>
          <w:rFonts w:hint="eastAsia" w:eastAsia="方正黑体_GBK"/>
          <w:color w:val="000000"/>
          <w:sz w:val="32"/>
          <w:szCs w:val="32"/>
        </w:rPr>
        <w:t>：</w:t>
      </w:r>
    </w:p>
    <w:p>
      <w:pPr>
        <w:tabs>
          <w:tab w:val="left" w:pos="7655"/>
        </w:tabs>
        <w:spacing w:line="500" w:lineRule="exact"/>
        <w:jc w:val="center"/>
        <w:rPr>
          <w:rFonts w:eastAsia="方正仿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电费补贴确认书</w:t>
      </w:r>
    </w:p>
    <w:p>
      <w:pPr>
        <w:tabs>
          <w:tab w:val="left" w:pos="7655"/>
        </w:tabs>
        <w:spacing w:line="500" w:lineRule="exact"/>
        <w:rPr>
          <w:rFonts w:eastAsia="方正仿宋_GBK"/>
          <w:sz w:val="32"/>
          <w:szCs w:val="32"/>
        </w:rPr>
      </w:pPr>
    </w:p>
    <w:p>
      <w:pPr>
        <w:tabs>
          <w:tab w:val="left" w:pos="7655"/>
        </w:tabs>
        <w:spacing w:line="500" w:lineRule="exact"/>
        <w:jc w:val="lef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成都经开区经济和信息化局：</w:t>
      </w:r>
    </w:p>
    <w:p>
      <w:pPr>
        <w:tabs>
          <w:tab w:val="left" w:pos="7655"/>
        </w:tabs>
        <w:spacing w:line="500" w:lineRule="exact"/>
        <w:jc w:val="left"/>
        <w:rPr>
          <w:rFonts w:eastAsia="方正仿宋_GBK"/>
          <w:sz w:val="32"/>
          <w:szCs w:val="32"/>
        </w:rPr>
      </w:pPr>
    </w:p>
    <w:p>
      <w:pPr>
        <w:tabs>
          <w:tab w:val="left" w:pos="7655"/>
        </w:tabs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我公司________________，统一社会信用代码为：_______________，经确认，电费补贴无误，金额为_______，无隐瞒转供电、虚报电费（用电量）等行为。</w:t>
      </w:r>
    </w:p>
    <w:p>
      <w:pPr>
        <w:tabs>
          <w:tab w:val="left" w:pos="7655"/>
        </w:tabs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本公司</w:t>
      </w:r>
      <w:r>
        <w:rPr>
          <w:rFonts w:eastAsia="方正仿宋_GBK"/>
          <w:sz w:val="32"/>
        </w:rPr>
        <w:t>2020年以来未发生重、特大安全事故以及环境污染事</w:t>
      </w:r>
      <w:r>
        <w:rPr>
          <w:rFonts w:hint="eastAsia" w:ascii="方正仿宋_GBK" w:eastAsia="方正仿宋_GBK"/>
          <w:sz w:val="32"/>
        </w:rPr>
        <w:t>故“一票否决”事</w:t>
      </w:r>
      <w:r>
        <w:rPr>
          <w:rFonts w:eastAsia="方正仿宋_GBK"/>
          <w:sz w:val="32"/>
        </w:rPr>
        <w:t>项，</w:t>
      </w:r>
      <w:r>
        <w:rPr>
          <w:rFonts w:eastAsia="方正仿宋_GBK"/>
          <w:sz w:val="32"/>
          <w:szCs w:val="32"/>
        </w:rPr>
        <w:t>自愿接受主管部门、社会等对本公司的监督，如有任何违反申报政策的行为，本公司愿意承担由此产生的全部责任。</w:t>
      </w:r>
    </w:p>
    <w:p>
      <w:pPr>
        <w:tabs>
          <w:tab w:val="left" w:pos="7655"/>
        </w:tabs>
        <w:spacing w:line="500" w:lineRule="exact"/>
        <w:rPr>
          <w:rFonts w:eastAsia="方正仿宋_GBK"/>
          <w:sz w:val="32"/>
          <w:szCs w:val="32"/>
        </w:rPr>
      </w:pPr>
    </w:p>
    <w:p>
      <w:pPr>
        <w:tabs>
          <w:tab w:val="left" w:pos="7655"/>
        </w:tabs>
        <w:spacing w:line="500" w:lineRule="exact"/>
        <w:rPr>
          <w:rFonts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公司开户名：</w:t>
      </w:r>
    </w:p>
    <w:p>
      <w:pPr>
        <w:tabs>
          <w:tab w:val="left" w:pos="7655"/>
        </w:tabs>
        <w:spacing w:line="500" w:lineRule="exact"/>
        <w:rPr>
          <w:rFonts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开户银行：</w:t>
      </w:r>
    </w:p>
    <w:p>
      <w:pPr>
        <w:tabs>
          <w:tab w:val="left" w:pos="7655"/>
        </w:tabs>
        <w:spacing w:line="500" w:lineRule="exact"/>
        <w:rPr>
          <w:rFonts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银行账号：</w:t>
      </w:r>
    </w:p>
    <w:p>
      <w:pPr>
        <w:tabs>
          <w:tab w:val="left" w:pos="7655"/>
        </w:tabs>
        <w:spacing w:line="500" w:lineRule="exact"/>
        <w:rPr>
          <w:rFonts w:eastAsia="方正仿宋_GBK"/>
          <w:sz w:val="32"/>
          <w:szCs w:val="32"/>
        </w:rPr>
      </w:pPr>
    </w:p>
    <w:p>
      <w:pPr>
        <w:tabs>
          <w:tab w:val="left" w:pos="7655"/>
        </w:tabs>
        <w:spacing w:line="500" w:lineRule="exact"/>
        <w:ind w:firstLine="6400" w:firstLineChars="20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XX企业</w:t>
      </w:r>
    </w:p>
    <w:p>
      <w:pPr>
        <w:tabs>
          <w:tab w:val="left" w:pos="7655"/>
        </w:tabs>
        <w:spacing w:line="500" w:lineRule="exact"/>
        <w:ind w:firstLine="5760" w:firstLineChars="18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法定代表人（签字）：</w:t>
      </w:r>
    </w:p>
    <w:p>
      <w:pPr>
        <w:tabs>
          <w:tab w:val="left" w:pos="7655"/>
        </w:tabs>
        <w:spacing w:line="500" w:lineRule="exact"/>
        <w:ind w:firstLine="6400" w:firstLineChars="20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年  月  日</w:t>
      </w:r>
    </w:p>
    <w:p>
      <w:pPr>
        <w:tabs>
          <w:tab w:val="left" w:pos="7655"/>
        </w:tabs>
        <w:spacing w:line="680" w:lineRule="exact"/>
        <w:ind w:firstLine="6400" w:firstLineChars="2000"/>
        <w:rPr>
          <w:rFonts w:eastAsia="方正仿宋_GBK"/>
          <w:sz w:val="32"/>
          <w:szCs w:val="32"/>
        </w:rPr>
      </w:pPr>
    </w:p>
    <w:p>
      <w:pPr>
        <w:pStyle w:val="2"/>
        <w:spacing w:line="680" w:lineRule="exact"/>
      </w:pPr>
    </w:p>
    <w:p>
      <w:pPr>
        <w:spacing w:line="579" w:lineRule="exact"/>
        <w:rPr>
          <w:rFonts w:ascii="方正小标宋_GBK" w:hAnsi="方正小标宋_GBK" w:eastAsia="方正小标宋_GBK"/>
          <w:sz w:val="32"/>
          <w:szCs w:val="32"/>
          <w:highlight w:val="yellow"/>
        </w:rPr>
      </w:pPr>
      <w:r>
        <w:rPr>
          <w:rFonts w:hint="eastAsia" w:ascii="方正黑体_GBK" w:eastAsia="方正黑体_GBK"/>
          <w:sz w:val="32"/>
          <w:szCs w:val="32"/>
        </w:rPr>
        <w:t>信息公开属</w:t>
      </w:r>
      <w:r>
        <w:rPr>
          <w:rFonts w:hint="eastAsia" w:ascii="方正黑体_GBK" w:eastAsia="方正黑体_GBK"/>
          <w:sz w:val="32"/>
          <w:szCs w:val="32"/>
          <w:highlight w:val="none"/>
        </w:rPr>
        <w:t>性：</w:t>
      </w:r>
      <w:r>
        <w:rPr>
          <w:rFonts w:hint="eastAsia" w:ascii="方正小标宋_GBK" w:hAnsi="方正小标宋_GBK" w:eastAsia="方正小标宋_GBK"/>
          <w:sz w:val="32"/>
          <w:szCs w:val="32"/>
          <w:highlight w:val="none"/>
          <w:lang w:eastAsia="zh-CN"/>
        </w:rPr>
        <w:t>主动</w:t>
      </w:r>
      <w:r>
        <w:rPr>
          <w:rFonts w:hint="eastAsia" w:ascii="方正小标宋_GBK" w:hAnsi="方正小标宋_GBK" w:eastAsia="方正小标宋_GBK"/>
          <w:sz w:val="32"/>
          <w:szCs w:val="32"/>
          <w:highlight w:val="none"/>
        </w:rPr>
        <w:t>公开</w:t>
      </w:r>
    </w:p>
    <w:p>
      <w:pPr>
        <w:spacing w:line="579" w:lineRule="exact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391160</wp:posOffset>
                </wp:positionV>
                <wp:extent cx="5621020" cy="0"/>
                <wp:effectExtent l="0" t="0" r="17780" b="19050"/>
                <wp:wrapNone/>
                <wp:docPr id="1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1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3" o:spid="_x0000_s1026" o:spt="32" type="#_x0000_t32" style="position:absolute;left:0pt;margin-left:0pt;margin-top:30.8pt;height:0pt;width:442.6pt;z-index:251660288;mso-width-relative:page;mso-height-relative:page;" filled="f" stroked="t" coordsize="21600,21600" o:gfxdata="UEsDBAoAAAAAAIdO4kAAAAAAAAAAAAAAAAAEAAAAZHJzL1BLAwQUAAAACACHTuJAwkv9MNUAAAAG&#10;AQAADwAAAGRycy9kb3ducmV2LnhtbE2PzWrDMBCE74W+g9hCL6WRbIhxXa9DCPTQY34gV8Xa2m6t&#10;lbHkOM3TR6WH9rgzw8y35epie3Gm0XeOEZKFAkFcO9Nxg3DYvz3nIHzQbHTvmBC+ycOqur8rdWHc&#10;zFs670IjYgn7QiO0IQyFlL5uyWq/cANx9D7caHWI59hIM+o5lttepkpl0uqO40KrB9q0VH/tJotA&#10;flomav1im8P7dX46ptfPedgjPj4k6hVEoEv4C8MPfkSHKjKd3MTGix4hPhIQsiQDEd08X6YgTr+C&#10;rEr5H7+6AVBLAwQUAAAACACHTuJAgzZhW9oBAADBAwAADgAAAGRycy9lMm9Eb2MueG1srVNNb9sw&#10;DL0P2H8QdF8cZ0ixGXGKIUF36bYA7X6AIsu2MFkUSCV2/v0o5WNdd+lhPgiWSb7H90iv7qfBiaNB&#10;suBrWc7mUhivobG+q+XP54cPn6SgqHyjHHhTy5Mheb9+/241hsosoAfXGBQM4qkaQy37GENVFKR7&#10;MyiaQTCegy3goCJfsSsaVCOjD65YzOd3xQjYBARtiPjr9hyUF0R8CyC0rdVmC/owGB/PqGiciiyJ&#10;ehtIrnO3bWt0/NG2ZKJwtWSlMZ9Mwu/7dBbrlao6VKG3+tKCeksLrzQNynomvUFtVVTigPYfqMFq&#10;BII2zjQMxVlIdoRVlPNX3jz1Kpisha2mcDOd/h+s/n7cobANb4IUXg088C+HCJlZlB+TP2OgitM2&#10;fodJoZ78U3gE/YuEh02vfGdy9vMpcHGZKoq/StKFArPsx2/QcI5igmzW1OKQINkGMeWZnG4zMVMU&#10;mj8u7xblfMHj0tdYoaprYUCKXw0MIr3UkiIq2/VxA97z5AHLTKOOjxRTW6q6FiRWDw/WubwAzoux&#10;lp+Xi2UuIHC2ScGURtjtNw7FUaUVyk/WyJGXaQgH35xJnE91Jm/fhfnqwdnNPTSnHV6N4snm3i5b&#10;mFbn5T3b+efPW/8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wkv9MNUAAAAGAQAADwAAAAAAAAAB&#10;ACAAAAAiAAAAZHJzL2Rvd25yZXYueG1sUEsBAhQAFAAAAAgAh07iQIM2YVvaAQAAwQMAAA4AAAAA&#10;AAAAAQAgAAAAJA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方正仿宋_GBK"/>
          <w:sz w:val="28"/>
          <w:szCs w:val="28"/>
        </w:rPr>
        <w:t>　</w:t>
      </w:r>
      <w:r>
        <w:rPr>
          <w:rFonts w:eastAsia="方正仿宋_GBK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5621020" cy="0"/>
                <wp:effectExtent l="0" t="0" r="0" b="0"/>
                <wp:wrapNone/>
                <wp:docPr id="2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1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0pt;margin-top:3.95pt;height:0pt;width:442.6pt;z-index:251661312;mso-width-relative:page;mso-height-relative:page;" filled="f" stroked="t" coordsize="21600,21600" o:gfxdata="UEsDBAoAAAAAAIdO4kAAAAAAAAAAAAAAAAAEAAAAZHJzL1BLAwQUAAAACACHTuJAwg23cdMAAAAE&#10;AQAADwAAAGRycy9kb3ducmV2LnhtbE2PwU7DMBBE70j9B2srcUHUTqRCGuJUVSUOHGkrcXXjJUkb&#10;r6PYaUq/noULHEczmnlTrK+uExccQutJQ7JQIJAqb1uqNRz2r48ZiBANWdN5Qg1fGGBdzu4Kk1s/&#10;0TtedrEWXEIhNxqaGPtcylA16ExY+B6JvU8/OBNZDrW0g5m43HUyVepJOtMSLzSmx22D1Xk3Og0Y&#10;xmWiNitXH95u08NHejtN/V7r+3miXkBEvMa/MPzgMzqUzHT0I9kgOg18JGp4XoFgM8uWKYjjr5Zl&#10;If/Dl99QSwMEFAAAAAgAh07iQIsuEg/aAQAAwQMAAA4AAABkcnMvZTJvRG9jLnhtbK1TTW/bMAy9&#10;D9h/EHRfHBtLsRlxiiFBd+m2AO1+gCLLtjBZFEglTv79KOVjXXfpYT4Ilkm+x/dIL++PoxMHg2TB&#10;N7KczaUwXkNrfd/In88PHz5JQVH5VjnwppEnQ/J+9f7dcgq1qWAA1xoUDOKpnkIjhxhDXRSkBzMq&#10;mkEwnoMd4KgiX7EvWlQTo4+uqObzu2ICbAOCNkT8dXMOygsivgUQus5qswG9H42PZ1Q0TkWWRIMN&#10;JFe5264zOv7oOjJRuEay0phPJuH3XTqL1VLVPaowWH1pQb2lhVeaRmU9k96gNioqsUf7D9RoNQJB&#10;F2caxuIsJDvCKsr5K2+eBhVM1sJWU7iZTv8PVn8/bFHYtpGVFF6NPPAv+wiZWZQfkz9ToJrT1n6L&#10;SaE++qfwCPoXCQ/rQfne5OznU+DiMlUUf5WkCwVm2U3foOUcxQTZrGOHY4JkG8Qxz+R0m4k5RqH5&#10;4+KuKucVj0tfY4Wqr4UBKX41MIr00kiKqGw/xDV4z5MHLDONOjxSTG2p+lqQWD08WOfyAjgvpkZ+&#10;XlSLXEDgbJuCKY2w360dioNKK5SfrJEjL9MQ9r49kzif6kzevgvz1YOzmztoT1u8GsWTzb1dtjCt&#10;zst7tvPPn7f6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INt3HTAAAABAEAAA8AAAAAAAAAAQAg&#10;AAAAIgAAAGRycy9kb3ducmV2LnhtbFBLAQIUABQAAAAIAIdO4kCLLhIP2gEAAMEDAAAOAAAAAAAA&#10;AAEAIAAAACI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方正仿宋_GBK"/>
          <w:sz w:val="28"/>
          <w:szCs w:val="28"/>
        </w:rPr>
        <w:t>成都经开区</w:t>
      </w:r>
      <w:r>
        <w:rPr>
          <w:rFonts w:eastAsia="方正仿宋_GBK"/>
          <w:sz w:val="28"/>
          <w:szCs w:val="28"/>
        </w:rPr>
        <w:t>经济</w:t>
      </w:r>
      <w:r>
        <w:rPr>
          <w:rFonts w:hint="eastAsia" w:eastAsia="方正仿宋_GBK"/>
          <w:sz w:val="28"/>
          <w:szCs w:val="28"/>
        </w:rPr>
        <w:t>和</w:t>
      </w:r>
      <w:r>
        <w:rPr>
          <w:rFonts w:eastAsia="方正仿宋_GBK"/>
          <w:sz w:val="28"/>
          <w:szCs w:val="28"/>
        </w:rPr>
        <w:t>信息化局办公室</w:t>
      </w:r>
      <w:r>
        <w:rPr>
          <w:rFonts w:hint="eastAsia" w:eastAsia="方正仿宋_GBK"/>
          <w:sz w:val="28"/>
          <w:szCs w:val="28"/>
        </w:rPr>
        <w:t xml:space="preserve">         2022</w:t>
      </w:r>
      <w:r>
        <w:rPr>
          <w:rFonts w:eastAsia="方正仿宋_GBK"/>
          <w:sz w:val="28"/>
          <w:szCs w:val="28"/>
        </w:rPr>
        <w:t>年</w:t>
      </w:r>
      <w:r>
        <w:rPr>
          <w:rFonts w:hint="eastAsia" w:eastAsia="方正仿宋_GBK"/>
          <w:sz w:val="28"/>
          <w:szCs w:val="28"/>
        </w:rPr>
        <w:t>10</w:t>
      </w:r>
      <w:r>
        <w:rPr>
          <w:rFonts w:eastAsia="方正仿宋_GBK"/>
          <w:sz w:val="28"/>
          <w:szCs w:val="28"/>
        </w:rPr>
        <w:t>月</w:t>
      </w:r>
      <w:r>
        <w:rPr>
          <w:rFonts w:hint="eastAsia" w:eastAsia="方正仿宋_GBK"/>
          <w:sz w:val="28"/>
          <w:szCs w:val="28"/>
          <w:lang w:val="en-US" w:eastAsia="zh-CN"/>
        </w:rPr>
        <w:t>31</w:t>
      </w:r>
      <w:bookmarkStart w:id="2" w:name="_GoBack"/>
      <w:bookmarkEnd w:id="2"/>
      <w:r>
        <w:rPr>
          <w:rFonts w:eastAsia="方正仿宋_GBK"/>
          <w:sz w:val="28"/>
          <w:szCs w:val="28"/>
        </w:rPr>
        <w:t>日印发</w:t>
      </w:r>
      <w:r>
        <w:rPr>
          <w:rFonts w:hint="eastAsia" w:eastAsia="方正仿宋_GBK"/>
          <w:sz w:val="28"/>
          <w:szCs w:val="28"/>
        </w:rPr>
        <w:t>　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20282498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5"/>
          <w:ind w:right="270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t>—</w:t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5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</w:t>
        </w:r>
        <w:r>
          <w:rPr>
            <w:rFonts w:asciiTheme="minorEastAsia" w:hAnsiTheme="minorEastAsia" w:eastAsiaTheme="minorEastAsia"/>
            <w:sz w:val="28"/>
            <w:szCs w:val="28"/>
          </w:rPr>
          <w:t>—</w:t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2861131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5"/>
          <w:tabs>
            <w:tab w:val="left" w:pos="284"/>
          </w:tabs>
          <w:ind w:right="630" w:firstLine="270" w:firstLineChars="150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t>—</w:t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</w:t>
        </w:r>
        <w:r>
          <w:rPr>
            <w:rFonts w:asciiTheme="minorEastAsia" w:hAnsiTheme="minorEastAsia" w:eastAsiaTheme="minorEastAsia"/>
            <w:sz w:val="28"/>
            <w:szCs w:val="28"/>
          </w:rPr>
          <w:t>—</w:t>
        </w:r>
      </w:p>
    </w:sdtContent>
  </w:sdt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0NmM1Zjg3MGNjZmVhMjg1MTdjODZhZGUwNDM2YmEifQ=="/>
  </w:docVars>
  <w:rsids>
    <w:rsidRoot w:val="101E0F5F"/>
    <w:rsid w:val="000114B9"/>
    <w:rsid w:val="00027534"/>
    <w:rsid w:val="00056E6C"/>
    <w:rsid w:val="00066D4D"/>
    <w:rsid w:val="00072F6C"/>
    <w:rsid w:val="00075AC3"/>
    <w:rsid w:val="00081D37"/>
    <w:rsid w:val="00084154"/>
    <w:rsid w:val="000A4525"/>
    <w:rsid w:val="000A4DAD"/>
    <w:rsid w:val="000B7BD9"/>
    <w:rsid w:val="000C36E4"/>
    <w:rsid w:val="000C6AA1"/>
    <w:rsid w:val="000C76BB"/>
    <w:rsid w:val="001339ED"/>
    <w:rsid w:val="00172A27"/>
    <w:rsid w:val="00182BFC"/>
    <w:rsid w:val="00183BCE"/>
    <w:rsid w:val="0018649E"/>
    <w:rsid w:val="0018720B"/>
    <w:rsid w:val="00187D15"/>
    <w:rsid w:val="001A240F"/>
    <w:rsid w:val="001B5058"/>
    <w:rsid w:val="001C53B1"/>
    <w:rsid w:val="001E5462"/>
    <w:rsid w:val="001E55C1"/>
    <w:rsid w:val="001F3CCB"/>
    <w:rsid w:val="00204FBF"/>
    <w:rsid w:val="00211EB9"/>
    <w:rsid w:val="0021245E"/>
    <w:rsid w:val="00226774"/>
    <w:rsid w:val="002324D5"/>
    <w:rsid w:val="00234BE9"/>
    <w:rsid w:val="00242A47"/>
    <w:rsid w:val="002449E3"/>
    <w:rsid w:val="00253D06"/>
    <w:rsid w:val="00256616"/>
    <w:rsid w:val="00264384"/>
    <w:rsid w:val="00274EF8"/>
    <w:rsid w:val="00277C96"/>
    <w:rsid w:val="00287584"/>
    <w:rsid w:val="00290E88"/>
    <w:rsid w:val="00292BCD"/>
    <w:rsid w:val="002A4C54"/>
    <w:rsid w:val="002C1B1E"/>
    <w:rsid w:val="002C2829"/>
    <w:rsid w:val="002C4FA3"/>
    <w:rsid w:val="002C5D31"/>
    <w:rsid w:val="002C7D02"/>
    <w:rsid w:val="002E17BF"/>
    <w:rsid w:val="002F2E2A"/>
    <w:rsid w:val="00347EBD"/>
    <w:rsid w:val="00361525"/>
    <w:rsid w:val="00373E26"/>
    <w:rsid w:val="00385ED0"/>
    <w:rsid w:val="003A3878"/>
    <w:rsid w:val="003A62E7"/>
    <w:rsid w:val="003F1E9B"/>
    <w:rsid w:val="004039C6"/>
    <w:rsid w:val="00424BFB"/>
    <w:rsid w:val="004411C9"/>
    <w:rsid w:val="0044465D"/>
    <w:rsid w:val="004466EC"/>
    <w:rsid w:val="0046470A"/>
    <w:rsid w:val="00475E6A"/>
    <w:rsid w:val="004778E7"/>
    <w:rsid w:val="004830FC"/>
    <w:rsid w:val="00492809"/>
    <w:rsid w:val="004B09EF"/>
    <w:rsid w:val="004B6C9D"/>
    <w:rsid w:val="004E2876"/>
    <w:rsid w:val="004E6781"/>
    <w:rsid w:val="00537D62"/>
    <w:rsid w:val="00544E1D"/>
    <w:rsid w:val="00554C9A"/>
    <w:rsid w:val="00557D4D"/>
    <w:rsid w:val="00560483"/>
    <w:rsid w:val="00563CA1"/>
    <w:rsid w:val="005974DC"/>
    <w:rsid w:val="00597FE8"/>
    <w:rsid w:val="005B171C"/>
    <w:rsid w:val="005B261F"/>
    <w:rsid w:val="005B2F98"/>
    <w:rsid w:val="005C1872"/>
    <w:rsid w:val="005C277C"/>
    <w:rsid w:val="005C4410"/>
    <w:rsid w:val="005C643F"/>
    <w:rsid w:val="005E7B77"/>
    <w:rsid w:val="005F08F5"/>
    <w:rsid w:val="0060302E"/>
    <w:rsid w:val="006035FA"/>
    <w:rsid w:val="00622D4C"/>
    <w:rsid w:val="006276FC"/>
    <w:rsid w:val="00655E19"/>
    <w:rsid w:val="00665B31"/>
    <w:rsid w:val="0067383E"/>
    <w:rsid w:val="00682B6F"/>
    <w:rsid w:val="00691B6F"/>
    <w:rsid w:val="006A6D14"/>
    <w:rsid w:val="006B101C"/>
    <w:rsid w:val="006B780B"/>
    <w:rsid w:val="006E1D10"/>
    <w:rsid w:val="006E7AEF"/>
    <w:rsid w:val="007037CF"/>
    <w:rsid w:val="00706B1A"/>
    <w:rsid w:val="00731FF2"/>
    <w:rsid w:val="00733F60"/>
    <w:rsid w:val="007420E5"/>
    <w:rsid w:val="00747A60"/>
    <w:rsid w:val="00753EEC"/>
    <w:rsid w:val="007576BB"/>
    <w:rsid w:val="00773183"/>
    <w:rsid w:val="00773325"/>
    <w:rsid w:val="00783326"/>
    <w:rsid w:val="007925F2"/>
    <w:rsid w:val="00796CD6"/>
    <w:rsid w:val="007B2398"/>
    <w:rsid w:val="007C55BF"/>
    <w:rsid w:val="007E5905"/>
    <w:rsid w:val="007E5C1C"/>
    <w:rsid w:val="007E6984"/>
    <w:rsid w:val="007E7E59"/>
    <w:rsid w:val="007F6CBC"/>
    <w:rsid w:val="00804A01"/>
    <w:rsid w:val="00805880"/>
    <w:rsid w:val="00814B3B"/>
    <w:rsid w:val="0084405E"/>
    <w:rsid w:val="00863A0B"/>
    <w:rsid w:val="008702CA"/>
    <w:rsid w:val="00875479"/>
    <w:rsid w:val="00886896"/>
    <w:rsid w:val="00895A84"/>
    <w:rsid w:val="008A156D"/>
    <w:rsid w:val="008A5CBA"/>
    <w:rsid w:val="008B3EB2"/>
    <w:rsid w:val="008B7522"/>
    <w:rsid w:val="008C3229"/>
    <w:rsid w:val="008D6740"/>
    <w:rsid w:val="008E121F"/>
    <w:rsid w:val="008F31A7"/>
    <w:rsid w:val="009021C5"/>
    <w:rsid w:val="00903362"/>
    <w:rsid w:val="009038CE"/>
    <w:rsid w:val="00903CD3"/>
    <w:rsid w:val="00914719"/>
    <w:rsid w:val="00914795"/>
    <w:rsid w:val="00915214"/>
    <w:rsid w:val="00920131"/>
    <w:rsid w:val="009208DC"/>
    <w:rsid w:val="00930C6E"/>
    <w:rsid w:val="00947038"/>
    <w:rsid w:val="00953C4A"/>
    <w:rsid w:val="00990218"/>
    <w:rsid w:val="00995B6E"/>
    <w:rsid w:val="009A1D19"/>
    <w:rsid w:val="009B5C73"/>
    <w:rsid w:val="009B7BEE"/>
    <w:rsid w:val="009D2C7F"/>
    <w:rsid w:val="009F54B8"/>
    <w:rsid w:val="00A173C9"/>
    <w:rsid w:val="00A17965"/>
    <w:rsid w:val="00A203A2"/>
    <w:rsid w:val="00A251C2"/>
    <w:rsid w:val="00A4415C"/>
    <w:rsid w:val="00A50660"/>
    <w:rsid w:val="00A6199A"/>
    <w:rsid w:val="00A74B0F"/>
    <w:rsid w:val="00A85FE0"/>
    <w:rsid w:val="00AD38E6"/>
    <w:rsid w:val="00AE7BCF"/>
    <w:rsid w:val="00B050B6"/>
    <w:rsid w:val="00B24572"/>
    <w:rsid w:val="00B25A30"/>
    <w:rsid w:val="00B31E30"/>
    <w:rsid w:val="00B461BC"/>
    <w:rsid w:val="00B55605"/>
    <w:rsid w:val="00B65F0D"/>
    <w:rsid w:val="00B81FD8"/>
    <w:rsid w:val="00B840BB"/>
    <w:rsid w:val="00B958AC"/>
    <w:rsid w:val="00BA717C"/>
    <w:rsid w:val="00BB3FD0"/>
    <w:rsid w:val="00BC2695"/>
    <w:rsid w:val="00C076A9"/>
    <w:rsid w:val="00C1647A"/>
    <w:rsid w:val="00C573C1"/>
    <w:rsid w:val="00C66833"/>
    <w:rsid w:val="00C6751C"/>
    <w:rsid w:val="00C753F9"/>
    <w:rsid w:val="00C800B3"/>
    <w:rsid w:val="00C80924"/>
    <w:rsid w:val="00C846B1"/>
    <w:rsid w:val="00C86C2E"/>
    <w:rsid w:val="00CA3B5D"/>
    <w:rsid w:val="00CC3A24"/>
    <w:rsid w:val="00CC7901"/>
    <w:rsid w:val="00CD066C"/>
    <w:rsid w:val="00CD2240"/>
    <w:rsid w:val="00CD544B"/>
    <w:rsid w:val="00D04AE2"/>
    <w:rsid w:val="00D147B8"/>
    <w:rsid w:val="00D16A50"/>
    <w:rsid w:val="00D1746C"/>
    <w:rsid w:val="00D17AF3"/>
    <w:rsid w:val="00D202F7"/>
    <w:rsid w:val="00D512F3"/>
    <w:rsid w:val="00D53787"/>
    <w:rsid w:val="00D74ED5"/>
    <w:rsid w:val="00D810C2"/>
    <w:rsid w:val="00D81602"/>
    <w:rsid w:val="00D81DA2"/>
    <w:rsid w:val="00D87842"/>
    <w:rsid w:val="00D92A98"/>
    <w:rsid w:val="00D937B2"/>
    <w:rsid w:val="00DB03DC"/>
    <w:rsid w:val="00DB2856"/>
    <w:rsid w:val="00DB61E0"/>
    <w:rsid w:val="00DB70E6"/>
    <w:rsid w:val="00DD398C"/>
    <w:rsid w:val="00E069DC"/>
    <w:rsid w:val="00E248C5"/>
    <w:rsid w:val="00E268A0"/>
    <w:rsid w:val="00E26C2E"/>
    <w:rsid w:val="00E309DB"/>
    <w:rsid w:val="00E332D5"/>
    <w:rsid w:val="00E41951"/>
    <w:rsid w:val="00E56610"/>
    <w:rsid w:val="00E6078A"/>
    <w:rsid w:val="00E67604"/>
    <w:rsid w:val="00E757CF"/>
    <w:rsid w:val="00E8246B"/>
    <w:rsid w:val="00E84E0F"/>
    <w:rsid w:val="00E908F8"/>
    <w:rsid w:val="00EC7AB5"/>
    <w:rsid w:val="00ED04C5"/>
    <w:rsid w:val="00ED6235"/>
    <w:rsid w:val="00EE077F"/>
    <w:rsid w:val="00EE1715"/>
    <w:rsid w:val="00EE5C83"/>
    <w:rsid w:val="00EF2A53"/>
    <w:rsid w:val="00EF71D3"/>
    <w:rsid w:val="00F16B2E"/>
    <w:rsid w:val="00F222A8"/>
    <w:rsid w:val="00F251AE"/>
    <w:rsid w:val="00F4281F"/>
    <w:rsid w:val="00F608FD"/>
    <w:rsid w:val="00F60E8E"/>
    <w:rsid w:val="00F6595E"/>
    <w:rsid w:val="00F75A9F"/>
    <w:rsid w:val="00F97805"/>
    <w:rsid w:val="00FA42CC"/>
    <w:rsid w:val="00FB351D"/>
    <w:rsid w:val="00FB78A6"/>
    <w:rsid w:val="00FC0022"/>
    <w:rsid w:val="00FC19E7"/>
    <w:rsid w:val="00FE1724"/>
    <w:rsid w:val="00FE4D7C"/>
    <w:rsid w:val="00FE6D12"/>
    <w:rsid w:val="05EC5B44"/>
    <w:rsid w:val="0AAA3D80"/>
    <w:rsid w:val="0BCF0791"/>
    <w:rsid w:val="0C094DCF"/>
    <w:rsid w:val="0C41432A"/>
    <w:rsid w:val="0CC34C38"/>
    <w:rsid w:val="0CE631D8"/>
    <w:rsid w:val="101E0F5F"/>
    <w:rsid w:val="11F25DEF"/>
    <w:rsid w:val="158A24D7"/>
    <w:rsid w:val="16A62303"/>
    <w:rsid w:val="171B1BF4"/>
    <w:rsid w:val="17E23BBC"/>
    <w:rsid w:val="180860C4"/>
    <w:rsid w:val="1A9A44AA"/>
    <w:rsid w:val="1D8A6537"/>
    <w:rsid w:val="2267404B"/>
    <w:rsid w:val="27364201"/>
    <w:rsid w:val="2D9304E4"/>
    <w:rsid w:val="32857C2F"/>
    <w:rsid w:val="33F379DD"/>
    <w:rsid w:val="37AA4162"/>
    <w:rsid w:val="38337BF7"/>
    <w:rsid w:val="39FF6B36"/>
    <w:rsid w:val="40C60756"/>
    <w:rsid w:val="45954079"/>
    <w:rsid w:val="4A5C3387"/>
    <w:rsid w:val="4FA3420B"/>
    <w:rsid w:val="51F27101"/>
    <w:rsid w:val="530363A4"/>
    <w:rsid w:val="5B2A2D9E"/>
    <w:rsid w:val="5B4D2FCA"/>
    <w:rsid w:val="63E17D6C"/>
    <w:rsid w:val="65F52DA4"/>
    <w:rsid w:val="673453D3"/>
    <w:rsid w:val="6BDC7720"/>
    <w:rsid w:val="6E1325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unhideWhenUsed/>
    <w:qFormat/>
    <w:uiPriority w:val="99"/>
    <w:pPr>
      <w:spacing w:after="120"/>
    </w:pPr>
    <w:rPr>
      <w:rFonts w:eastAsia="方正仿宋_GBK"/>
      <w:sz w:val="32"/>
      <w:szCs w:val="22"/>
    </w:rPr>
  </w:style>
  <w:style w:type="paragraph" w:styleId="3">
    <w:name w:val="Date"/>
    <w:basedOn w:val="1"/>
    <w:next w:val="1"/>
    <w:link w:val="18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qFormat/>
    <w:uiPriority w:val="0"/>
  </w:style>
  <w:style w:type="character" w:customStyle="1" w:styleId="11">
    <w:name w:val="页眉 Char"/>
    <w:link w:val="6"/>
    <w:qFormat/>
    <w:uiPriority w:val="99"/>
    <w:rPr>
      <w:kern w:val="2"/>
      <w:sz w:val="18"/>
      <w:szCs w:val="18"/>
    </w:rPr>
  </w:style>
  <w:style w:type="character" w:customStyle="1" w:styleId="12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4">
    <w:name w:val="正文文本 (2)_"/>
    <w:basedOn w:val="9"/>
    <w:link w:val="15"/>
    <w:qFormat/>
    <w:locked/>
    <w:uiPriority w:val="99"/>
    <w:rPr>
      <w:rFonts w:ascii="MingLiU" w:eastAsia="MingLiU" w:cs="MingLiU"/>
      <w:sz w:val="30"/>
      <w:szCs w:val="30"/>
      <w:shd w:val="clear" w:color="auto" w:fill="FFFFFF"/>
    </w:rPr>
  </w:style>
  <w:style w:type="paragraph" w:customStyle="1" w:styleId="15">
    <w:name w:val="正文文本 (2)"/>
    <w:basedOn w:val="1"/>
    <w:link w:val="14"/>
    <w:qFormat/>
    <w:uiPriority w:val="99"/>
    <w:pPr>
      <w:shd w:val="clear" w:color="auto" w:fill="FFFFFF"/>
      <w:spacing w:before="1260" w:after="1500" w:line="240" w:lineRule="atLeast"/>
      <w:jc w:val="center"/>
    </w:pPr>
    <w:rPr>
      <w:rFonts w:ascii="MingLiU" w:eastAsia="MingLiU" w:cs="MingLiU"/>
      <w:kern w:val="0"/>
      <w:sz w:val="30"/>
      <w:szCs w:val="30"/>
    </w:rPr>
  </w:style>
  <w:style w:type="paragraph" w:customStyle="1" w:styleId="16">
    <w:name w:val="标题 11"/>
    <w:basedOn w:val="1"/>
    <w:qFormat/>
    <w:uiPriority w:val="1"/>
    <w:pPr>
      <w:autoSpaceDE w:val="0"/>
      <w:autoSpaceDN w:val="0"/>
      <w:ind w:left="118"/>
      <w:jc w:val="center"/>
      <w:outlineLvl w:val="1"/>
    </w:pPr>
    <w:rPr>
      <w:rFonts w:ascii="宋体" w:hAnsi="宋体" w:cs="宋体"/>
      <w:kern w:val="0"/>
      <w:sz w:val="44"/>
      <w:szCs w:val="44"/>
      <w:lang w:eastAsia="en-US"/>
    </w:rPr>
  </w:style>
  <w:style w:type="character" w:customStyle="1" w:styleId="17">
    <w:name w:val="正文文本 Char"/>
    <w:basedOn w:val="9"/>
    <w:link w:val="2"/>
    <w:uiPriority w:val="99"/>
    <w:rPr>
      <w:rFonts w:eastAsia="方正仿宋_GBK"/>
      <w:kern w:val="2"/>
      <w:sz w:val="32"/>
      <w:szCs w:val="22"/>
    </w:rPr>
  </w:style>
  <w:style w:type="character" w:customStyle="1" w:styleId="18">
    <w:name w:val="日期 Char"/>
    <w:basedOn w:val="9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2022&#24180;\2022&#24180;&#21046;&#25991;\&#20844;&#25991;&#27169;&#26495;\&#20844;&#25991;\&#20844;&#25991;&#27169;&#26495;\&#25104;&#32463;&#24320;&#32463;&#20449;&#21457;-&#19979;&#34892;&#25991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82C6F9-BCC6-43AE-90E2-D647A94BCD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成经开经信发-下行文</Template>
  <Company>微软中国</Company>
  <Pages>6</Pages>
  <Words>1711</Words>
  <Characters>1868</Characters>
  <Lines>14</Lines>
  <Paragraphs>4</Paragraphs>
  <TotalTime>102</TotalTime>
  <ScaleCrop>false</ScaleCrop>
  <LinksUpToDate>false</LinksUpToDate>
  <CharactersWithSpaces>1883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2022-01-24T06:30:00Z</dcterms:created>
  <dc:creator>超人媽咪</dc:creator>
  <cp:lastModifiedBy>超人媽咪</cp:lastModifiedBy>
  <dcterms:modified xsi:type="dcterms:W3CDTF">2022-10-31T01:32:41Z</dcterms:modified>
  <dc:title>成都市龙泉驿区科学技术局文件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BCAD166FD82E4F46B70C76021F0A9EB8</vt:lpwstr>
  </property>
  <property fmtid="{D5CDD505-2E9C-101B-9397-08002B2CF9AE}" pid="4" name="commondata">
    <vt:lpwstr>eyJoZGlkIjoiYWQxNTBiNGU5MzAyMTQwYTY0N2MyMzkzODJmOWUzMTAifQ==</vt:lpwstr>
  </property>
</Properties>
</file>