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39" w:rsidRDefault="00CA4F39" w:rsidP="00CA4F39">
      <w:pPr>
        <w:adjustRightInd w:val="0"/>
        <w:snapToGrid w:val="0"/>
        <w:spacing w:line="600" w:lineRule="exact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4"/>
          <w:szCs w:val="44"/>
        </w:rPr>
        <w:t>2022</w:t>
      </w:r>
      <w:r>
        <w:rPr>
          <w:rFonts w:eastAsia="方正小标宋简体" w:hint="eastAsia"/>
          <w:color w:val="000000"/>
          <w:kern w:val="0"/>
          <w:sz w:val="44"/>
          <w:szCs w:val="44"/>
        </w:rPr>
        <w:t>年度省级绿色制造推荐名单公示</w:t>
      </w:r>
    </w:p>
    <w:p w:rsidR="00CA4F39" w:rsidRDefault="00CA4F39" w:rsidP="00CA4F39">
      <w:pPr>
        <w:pStyle w:val="1"/>
        <w:ind w:left="900" w:hanging="480"/>
      </w:pPr>
    </w:p>
    <w:tbl>
      <w:tblPr>
        <w:tblW w:w="6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5669"/>
      </w:tblGrid>
      <w:tr w:rsidR="00CA4F39" w:rsidTr="00331F31">
        <w:trPr>
          <w:trHeight w:val="454"/>
          <w:jc w:val="center"/>
        </w:trPr>
        <w:tc>
          <w:tcPr>
            <w:tcW w:w="6348" w:type="dxa"/>
            <w:gridSpan w:val="2"/>
            <w:vAlign w:val="center"/>
          </w:tcPr>
          <w:p w:rsidR="00CA4F39" w:rsidRDefault="00CA4F39" w:rsidP="00331F31"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绿色工厂推荐名单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工厂名称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戴尔（成都）有限公司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华润雪花啤酒（四川</w:t>
            </w: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有限责任公司新都分公司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成都金开生物工程有限公司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成都麦隆电气有限公司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成都倍特药业股份有限公司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成都圣恩生物科技股份有限公司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四川新易盛通信技术有限公司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中材科技（成都）有限公司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成都宝洁有限公司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四川</w:t>
            </w:r>
            <w:proofErr w:type="gramStart"/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川</w:t>
            </w:r>
            <w:proofErr w:type="gramEnd"/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润液压润滑设备有限公司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成都青山利康药业股份有限公司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pStyle w:val="a3"/>
              <w:spacing w:line="400" w:lineRule="exact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永</w:t>
            </w:r>
            <w:proofErr w:type="gramStart"/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亨科技</w:t>
            </w:r>
            <w:proofErr w:type="gramEnd"/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集团有限公司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戴卡凯斯曼成都汽车零部件有限公司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四川迅源纸业有限公司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四川南玻节能玻璃有限公司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四川徽记食品股份有限公司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成都中光电科技有限公司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成都中电熊猫显示科技有限公司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厚普清洁</w:t>
            </w:r>
            <w:proofErr w:type="gramEnd"/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能源（集团）股份有限公司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巨石集团成都有限公司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成都市新兴粮油有限公司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成都济通路桥科技有限公司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成都展望能源机械有限公司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四川省新都美河线缆厂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四川雅卫新材料有限公司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四川川大华西药业股份有限公司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成都盛帮密封</w:t>
            </w:r>
            <w:proofErr w:type="gramEnd"/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件股份有限公司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成都联虹钼业有限公司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lastRenderedPageBreak/>
              <w:t>29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成都华神科技集团股份有限公司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四川汇源塑料光纤有限公司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00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成都弘林机械有限公司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四川多联实业有限公司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  <w:u w:val="single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成都旭光电子股份有限公司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岸宝环保</w:t>
            </w:r>
            <w:proofErr w:type="gramEnd"/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科技（成都）有限公司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成都统一食品有限公司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成都嘉润汽车部件有限公司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四川省文君茶业有限公司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浙江吉利汽车有限公司成都分公司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四川石化雅诗纸业有限公司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四川海林格生物制药有限公司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成都中</w:t>
            </w:r>
            <w:proofErr w:type="gramStart"/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寰</w:t>
            </w:r>
            <w:proofErr w:type="gramEnd"/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流体控制设备股份有限公司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成都</w:t>
            </w:r>
            <w:proofErr w:type="gramStart"/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杨天万应制</w:t>
            </w:r>
            <w:proofErr w:type="gramEnd"/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药有限公司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成都金博</w:t>
            </w:r>
            <w:proofErr w:type="gramStart"/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傲</w:t>
            </w:r>
            <w:proofErr w:type="gramEnd"/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家居有限公司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四川环龙技术织物有限公司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梅特勒－托利多（成都）称重设备系统有限公司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四川南都国舰新能源股份有限公司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成都虹波实业股份有限公司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四川知本生物工程有限公司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成都康华生物制品股份有限公司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方正仿宋简体"/>
                <w:b/>
                <w:color w:val="FF0000"/>
                <w:kern w:val="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/>
              </w:rPr>
              <w:t>四川蜀道装备科技股份有限公司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348" w:type="dxa"/>
            <w:gridSpan w:val="2"/>
            <w:vAlign w:val="center"/>
          </w:tcPr>
          <w:p w:rsidR="00CA4F39" w:rsidRDefault="00CA4F39" w:rsidP="00331F31"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szCs w:val="32"/>
              </w:rPr>
              <w:t>绿色工业园区推荐名单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spacing w:line="400" w:lineRule="exact"/>
              <w:jc w:val="center"/>
              <w:rPr>
                <w:rFonts w:eastAsia="黑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spacing w:line="400" w:lineRule="exact"/>
              <w:jc w:val="center"/>
              <w:rPr>
                <w:rFonts w:eastAsia="黑体"/>
                <w:color w:val="000000"/>
                <w:kern w:val="0"/>
                <w:sz w:val="24"/>
                <w:szCs w:val="32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szCs w:val="32"/>
              </w:rPr>
              <w:t>园区名称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天府中药城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邛崃市天府新区半导体材料产业功能区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348" w:type="dxa"/>
            <w:gridSpan w:val="2"/>
            <w:vAlign w:val="center"/>
          </w:tcPr>
          <w:p w:rsidR="00CA4F39" w:rsidRDefault="00CA4F39" w:rsidP="00331F31">
            <w:pPr>
              <w:spacing w:line="360" w:lineRule="auto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szCs w:val="32"/>
              </w:rPr>
              <w:t>绿色供应链管理企业推荐名单</w:t>
            </w:r>
          </w:p>
        </w:tc>
      </w:tr>
      <w:tr w:rsidR="00CA4F39" w:rsidTr="00331F31">
        <w:trPr>
          <w:trHeight w:val="1062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spacing w:line="400" w:lineRule="exact"/>
              <w:jc w:val="center"/>
              <w:rPr>
                <w:rFonts w:eastAsia="黑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spacing w:line="400" w:lineRule="exact"/>
              <w:jc w:val="center"/>
              <w:rPr>
                <w:rFonts w:eastAsia="黑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  <w:szCs w:val="32"/>
              </w:rPr>
              <w:t>企业名称</w:t>
            </w:r>
          </w:p>
        </w:tc>
      </w:tr>
      <w:tr w:rsidR="00CA4F39" w:rsidTr="00331F31">
        <w:trPr>
          <w:trHeight w:val="454"/>
          <w:jc w:val="center"/>
        </w:trPr>
        <w:tc>
          <w:tcPr>
            <w:tcW w:w="679" w:type="dxa"/>
            <w:vAlign w:val="center"/>
          </w:tcPr>
          <w:p w:rsidR="00CA4F39" w:rsidRDefault="00CA4F39" w:rsidP="00331F31">
            <w:pPr>
              <w:widowControl/>
              <w:spacing w:line="240" w:lineRule="exact"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669" w:type="dxa"/>
            <w:vAlign w:val="center"/>
          </w:tcPr>
          <w:p w:rsidR="00CA4F39" w:rsidRDefault="00CA4F39" w:rsidP="00331F31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四川南都国舰新能源股份有限公司</w:t>
            </w:r>
          </w:p>
        </w:tc>
      </w:tr>
    </w:tbl>
    <w:p w:rsidR="00CA4F39" w:rsidRDefault="00CA4F39" w:rsidP="00CA4F39"/>
    <w:p w:rsidR="00CA4F39" w:rsidRDefault="00CA4F39" w:rsidP="00CA4F39">
      <w:pPr>
        <w:pStyle w:val="a3"/>
        <w:spacing w:line="324" w:lineRule="auto"/>
        <w:jc w:val="left"/>
        <w:rPr>
          <w:rFonts w:ascii="宋体" w:hAnsi="宋体" w:hint="eastAsia"/>
          <w:b/>
          <w:sz w:val="18"/>
          <w:szCs w:val="18"/>
        </w:rPr>
      </w:pPr>
    </w:p>
    <w:p w:rsidR="008A6DEB" w:rsidRPr="00CA4F39" w:rsidRDefault="008A6DEB"/>
    <w:sectPr w:rsidR="008A6DEB" w:rsidRPr="00CA4F39">
      <w:footerReference w:type="even" r:id="rId4"/>
      <w:pgSz w:w="11906" w:h="16838"/>
      <w:pgMar w:top="1077" w:right="1537" w:bottom="312" w:left="1537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4F3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CA4F39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4F39"/>
    <w:rsid w:val="00394728"/>
    <w:rsid w:val="008A6DEB"/>
    <w:rsid w:val="00CA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A4F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图表目录1"/>
    <w:basedOn w:val="a"/>
    <w:next w:val="a"/>
    <w:qFormat/>
    <w:rsid w:val="00CA4F39"/>
    <w:pPr>
      <w:ind w:leftChars="200" w:left="200" w:hangingChars="200" w:hanging="200"/>
      <w:jc w:val="left"/>
    </w:pPr>
    <w:rPr>
      <w:rFonts w:eastAsia="仿宋_GB2312" w:hint="eastAsia"/>
      <w:color w:val="000000"/>
      <w:kern w:val="0"/>
      <w:sz w:val="24"/>
      <w:szCs w:val="22"/>
      <w:lang w:val="zh-CN"/>
    </w:rPr>
  </w:style>
  <w:style w:type="paragraph" w:styleId="a3">
    <w:name w:val="Body Text"/>
    <w:basedOn w:val="a"/>
    <w:next w:val="a"/>
    <w:link w:val="Char"/>
    <w:rsid w:val="00CA4F39"/>
    <w:rPr>
      <w:sz w:val="32"/>
    </w:rPr>
  </w:style>
  <w:style w:type="character" w:customStyle="1" w:styleId="Char">
    <w:name w:val="正文文本 Char"/>
    <w:basedOn w:val="a0"/>
    <w:link w:val="a3"/>
    <w:rsid w:val="00CA4F39"/>
    <w:rPr>
      <w:rFonts w:ascii="Times New Roman" w:eastAsia="宋体" w:hAnsi="Times New Roman" w:cs="Times New Roman"/>
      <w:sz w:val="32"/>
      <w:szCs w:val="24"/>
    </w:rPr>
  </w:style>
  <w:style w:type="paragraph" w:styleId="a4">
    <w:name w:val="footer"/>
    <w:basedOn w:val="a"/>
    <w:link w:val="Char0"/>
    <w:rsid w:val="00CA4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A4F3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A4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531</Characters>
  <Application>Microsoft Office Word</Application>
  <DocSecurity>0</DocSecurity>
  <Lines>25</Lines>
  <Paragraphs>25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2022-10-18T06:23:00Z</dcterms:created>
  <dcterms:modified xsi:type="dcterms:W3CDTF">2022-10-18T06:23:00Z</dcterms:modified>
</cp:coreProperties>
</file>